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bidi w:val="0"/>
        <w:spacing w:lineRule="auto" w:line="240" w:before="0" w:after="0"/>
        <w:jc w:val="center"/>
        <w:rPr>
          <w:rFonts w:ascii="Calibri Light" w:hAnsi="Calibri Light"/>
          <w:color w:val="C9211E"/>
          <w:sz w:val="24"/>
          <w:szCs w:val="24"/>
        </w:rPr>
      </w:pPr>
      <w:r>
        <w:rPr>
          <w:rFonts w:cs="Arial"/>
          <w:b/>
          <w:bCs/>
          <w:color w:val="C9211E"/>
          <w:sz w:val="24"/>
          <w:szCs w:val="24"/>
          <w:lang w:val="pt-BR"/>
        </w:rPr>
        <w:t xml:space="preserve">ANEXO II </w:t>
      </w:r>
      <w:r>
        <w:rPr>
          <w:rFonts w:cs="Arial"/>
          <w:b/>
          <w:bCs/>
          <w:color w:val="C9211E"/>
          <w:sz w:val="24"/>
          <w:szCs w:val="24"/>
          <w:shd w:fill="auto" w:val="clear"/>
          <w:lang w:val="pt-BR"/>
        </w:rPr>
        <w:t>-</w:t>
      </w:r>
      <w:r>
        <w:rPr>
          <w:rFonts w:cs="Arial"/>
          <w:b/>
          <w:bCs/>
          <w:color w:val="C9211E"/>
          <w:sz w:val="24"/>
          <w:szCs w:val="24"/>
          <w:lang w:val="pt-BR"/>
        </w:rPr>
        <w:t xml:space="preserve"> MODELO DE PROPOSTA FINAL DE PREÇOS</w:t>
      </w:r>
    </w:p>
    <w:p>
      <w:pPr>
        <w:pStyle w:val="Normal"/>
        <w:keepNext w:val="true"/>
        <w:widowControl/>
        <w:tabs>
          <w:tab w:val="clear" w:pos="408"/>
          <w:tab w:val="left" w:pos="540" w:leader="none"/>
          <w:tab w:val="left" w:pos="1701" w:leader="none"/>
        </w:tabs>
        <w:bidi w:val="0"/>
        <w:spacing w:lineRule="atLeast" w:line="200" w:before="0" w:after="0"/>
        <w:jc w:val="center"/>
        <w:rPr>
          <w:rFonts w:ascii="Calibri Light" w:hAnsi="Calibri Light" w:eastAsia="Arial" w:cs="Arial"/>
          <w:color w:val="auto"/>
          <w:sz w:val="24"/>
          <w:szCs w:val="24"/>
          <w:lang w:val="pt-BR" w:eastAsia="zxx" w:bidi="zxx"/>
        </w:rPr>
      </w:pPr>
      <w:r>
        <w:rPr>
          <w:rFonts w:eastAsia="Arial" w:cs="Arial"/>
          <w:color w:val="auto"/>
          <w:sz w:val="24"/>
          <w:szCs w:val="24"/>
          <w:lang w:val="pt-BR" w:eastAsia="zxx" w:bidi="zxx"/>
        </w:rPr>
      </w:r>
    </w:p>
    <w:p>
      <w:pPr>
        <w:pStyle w:val="Normal"/>
        <w:keepNext w:val="true"/>
        <w:tabs>
          <w:tab w:val="clear" w:pos="408"/>
          <w:tab w:val="left" w:pos="540" w:leader="none"/>
          <w:tab w:val="left" w:pos="1701" w:leader="none"/>
        </w:tabs>
        <w:spacing w:lineRule="auto" w:line="240" w:before="0" w:after="113"/>
        <w:jc w:val="center"/>
        <w:rPr>
          <w:rFonts w:ascii="Calibri Light" w:hAnsi="Calibri Light" w:eastAsia="Arial" w:cs="Arial"/>
          <w:color w:val="FF0000"/>
          <w:sz w:val="24"/>
          <w:szCs w:val="24"/>
          <w:lang w:val="pt-BR" w:eastAsia="zxx" w:bidi="zxx"/>
        </w:rPr>
      </w:pPr>
      <w:r>
        <w:rPr>
          <w:rFonts w:eastAsia="Arial" w:cs="Arial"/>
          <w:color w:val="FF0000"/>
          <w:sz w:val="24"/>
          <w:szCs w:val="24"/>
          <w:lang w:val="pt-BR" w:eastAsia="zxx" w:bidi="zxx"/>
        </w:rPr>
        <w:t>EM PAPEL TIMBRADO</w:t>
      </w:r>
    </w:p>
    <w:p>
      <w:pPr>
        <w:pStyle w:val="Normal"/>
        <w:keepNext w:val="true"/>
        <w:tabs>
          <w:tab w:val="clear" w:pos="408"/>
          <w:tab w:val="left" w:pos="540" w:leader="none"/>
          <w:tab w:val="left" w:pos="1701" w:leader="none"/>
        </w:tabs>
        <w:spacing w:lineRule="auto" w:line="240"/>
        <w:jc w:val="center"/>
        <w:rPr>
          <w:rFonts w:ascii="Calibri Light" w:hAnsi="Calibri Light" w:cs="Arial"/>
          <w:b/>
          <w:bCs/>
          <w:sz w:val="24"/>
          <w:szCs w:val="24"/>
          <w:lang w:val="pt-BR" w:eastAsia="zxx" w:bidi="zxx"/>
        </w:rPr>
      </w:pPr>
      <w:r>
        <w:rPr>
          <w:rFonts w:cs="Arial"/>
          <w:b/>
          <w:bCs/>
          <w:sz w:val="24"/>
          <w:szCs w:val="24"/>
          <w:lang w:val="pt-BR" w:eastAsia="zxx" w:bidi="zxx"/>
        </w:rPr>
        <w:t>PROPOSTA FINAL DE PREÇOS</w:t>
      </w:r>
    </w:p>
    <w:p>
      <w:pPr>
        <w:pStyle w:val="Normal"/>
        <w:keepNext w:val="true"/>
        <w:tabs>
          <w:tab w:val="clear" w:pos="408"/>
          <w:tab w:val="left" w:pos="540" w:leader="none"/>
          <w:tab w:val="left" w:pos="1701" w:leader="none"/>
        </w:tabs>
        <w:spacing w:lineRule="atLeast" w:line="200"/>
        <w:jc w:val="center"/>
        <w:rPr>
          <w:rFonts w:ascii="Calibri Light" w:hAnsi="Calibri Light" w:cs="Arial"/>
          <w:color w:val="FF0000"/>
          <w:sz w:val="24"/>
          <w:szCs w:val="24"/>
          <w:lang w:val="pt-BR" w:eastAsia="zxx" w:bidi="zxx"/>
        </w:rPr>
      </w:pPr>
      <w:r>
        <w:rPr>
          <w:rFonts w:cs="Arial"/>
          <w:color w:val="FF0000"/>
          <w:sz w:val="24"/>
          <w:szCs w:val="24"/>
          <w:lang w:val="pt-BR" w:eastAsia="zxx" w:bidi="zxx"/>
        </w:rPr>
        <w:t>(apenas para itens vencedores)</w:t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pacing w:lineRule="auto" w:line="240"/>
        <w:jc w:val="both"/>
        <w:rPr>
          <w:rFonts w:ascii="Calibri Light" w:hAnsi="Calibri Light"/>
          <w:b/>
          <w:bCs/>
          <w:sz w:val="24"/>
          <w:szCs w:val="24"/>
          <w:lang w:val="pt-BR"/>
        </w:rPr>
      </w:pPr>
      <w:r>
        <w:rPr>
          <w:rFonts w:cs="Arial"/>
          <w:b/>
          <w:bCs/>
          <w:color w:val="000000"/>
          <w:sz w:val="24"/>
          <w:szCs w:val="24"/>
          <w:lang w:val="pt-BR" w:eastAsia="zxx" w:bidi="zxx"/>
        </w:rPr>
        <w:t>Ao Cmdo CMA</w:t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/>
          <w:b/>
          <w:bCs/>
          <w:color w:val="auto"/>
          <w:sz w:val="24"/>
          <w:szCs w:val="24"/>
          <w:lang w:val="pt-BR"/>
        </w:rPr>
      </w:pP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  <w:t>PREGÃ</w:t>
      </w:r>
      <w:r>
        <w:rPr>
          <w:rFonts w:cs="Arial"/>
          <w:b/>
          <w:bCs/>
          <w:color w:val="000000"/>
          <w:sz w:val="24"/>
          <w:szCs w:val="24"/>
          <w:shd w:fill="auto" w:val="clear"/>
          <w:lang w:val="pt-BR" w:eastAsia="zxx" w:bidi="zxx"/>
        </w:rPr>
        <w:t xml:space="preserve">O SRP 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Nº xx/20xx</w:t>
      </w:r>
      <w:r>
        <w:rPr>
          <w:rFonts w:cs="Arial"/>
          <w:b/>
          <w:bCs/>
          <w:color w:val="000000"/>
          <w:sz w:val="24"/>
          <w:szCs w:val="24"/>
          <w:shd w:fill="auto" w:val="clear"/>
          <w:lang w:val="pt-BR" w:eastAsia="zxx" w:bidi="zxx"/>
        </w:rPr>
        <w:t>-Cmdo CMA/4º CTA</w:t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 w:cs="Arial"/>
          <w:b/>
          <w:bCs/>
          <w:color w:val="auto"/>
          <w:sz w:val="24"/>
          <w:szCs w:val="24"/>
          <w:lang w:val="pt-BR" w:eastAsia="zxx" w:bidi="zxx"/>
        </w:rPr>
      </w:pP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uppressAutoHyphens w:val="false"/>
        <w:spacing w:lineRule="auto" w:line="240" w:before="0" w:after="113"/>
        <w:ind w:left="0" w:right="0" w:hanging="0"/>
        <w:jc w:val="both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Razão Social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uppressAutoHyphens w:val="false"/>
        <w:spacing w:lineRule="auto" w:line="240" w:before="0" w:after="113"/>
        <w:ind w:left="0" w:right="0" w:hanging="0"/>
        <w:jc w:val="both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CNPJ</w:t>
      </w:r>
      <w:r>
        <w:rPr>
          <w:rFonts w:cs="Arial"/>
          <w:color w:val="FF0000"/>
          <w:sz w:val="24"/>
          <w:szCs w:val="24"/>
          <w:lang w:val="pt-BR" w:eastAsia="zxx" w:bidi="zxx"/>
        </w:rPr>
        <w:t xml:space="preserve">:          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Insc Est</w:t>
      </w:r>
      <w:r>
        <w:rPr>
          <w:rFonts w:cs="Arial"/>
          <w:color w:val="FF0000"/>
          <w:sz w:val="24"/>
          <w:szCs w:val="24"/>
          <w:lang w:val="pt-BR" w:eastAsia="zxx" w:bidi="zxx"/>
        </w:rPr>
        <w:t xml:space="preserve">:       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Insc Mun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uppressAutoHyphens w:val="false"/>
        <w:spacing w:lineRule="auto" w:line="240" w:before="0" w:after="113"/>
        <w:ind w:left="0" w:right="0" w:hanging="0"/>
        <w:jc w:val="both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Endereço Completo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uppressAutoHyphens w:val="false"/>
        <w:spacing w:lineRule="auto" w:line="240" w:before="0" w:after="113"/>
        <w:ind w:left="0" w:right="0" w:hanging="0"/>
        <w:jc w:val="both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Tel</w:t>
      </w:r>
      <w:r>
        <w:rPr>
          <w:rFonts w:cs="Arial"/>
          <w:color w:val="FF0000"/>
          <w:sz w:val="24"/>
          <w:szCs w:val="24"/>
          <w:lang w:val="pt-BR" w:eastAsia="zxx" w:bidi="zxx"/>
        </w:rPr>
        <w:t xml:space="preserve">: (   )        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Fax</w:t>
      </w:r>
      <w:r>
        <w:rPr>
          <w:rFonts w:cs="Arial"/>
          <w:color w:val="FF0000"/>
          <w:sz w:val="24"/>
          <w:szCs w:val="24"/>
          <w:lang w:val="pt-BR" w:eastAsia="zxx" w:bidi="zxx"/>
        </w:rPr>
        <w:t>: (   )</w:t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uppressAutoHyphens w:val="false"/>
        <w:spacing w:lineRule="auto" w:line="240" w:before="0" w:after="113"/>
        <w:ind w:left="0" w:right="0" w:hanging="0"/>
        <w:jc w:val="both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e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>mail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keepNext w:val="true"/>
        <w:tabs>
          <w:tab w:val="clear" w:pos="408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 w:cs="Arial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Banco</w:t>
      </w:r>
      <w:r>
        <w:rPr>
          <w:rFonts w:cs="Arial"/>
          <w:b w:val="false"/>
          <w:bCs w:val="false"/>
          <w:color w:val="FF0000"/>
          <w:sz w:val="24"/>
          <w:szCs w:val="24"/>
          <w:lang w:val="pt-BR" w:eastAsia="zxx" w:bidi="zxx"/>
        </w:rPr>
        <w:t xml:space="preserve">:         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Agência</w:t>
      </w:r>
      <w:r>
        <w:rPr>
          <w:rFonts w:cs="Arial"/>
          <w:b w:val="false"/>
          <w:bCs w:val="false"/>
          <w:color w:val="FF0000"/>
          <w:sz w:val="24"/>
          <w:szCs w:val="24"/>
          <w:lang w:val="pt-BR" w:eastAsia="zxx" w:bidi="zxx"/>
        </w:rPr>
        <w:t xml:space="preserve">:       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Conta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>corrente</w:t>
      </w:r>
      <w:r>
        <w:rPr>
          <w:rFonts w:cs="Arial"/>
          <w:b w:val="false"/>
          <w:bCs w:val="false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 w:cs="Arial"/>
          <w:b w:val="false"/>
          <w:bCs w:val="false"/>
          <w:color w:val="auto"/>
          <w:sz w:val="24"/>
          <w:szCs w:val="24"/>
          <w:lang w:val="pt-BR" w:eastAsia="zxx" w:bidi="zxx"/>
        </w:rPr>
      </w:pPr>
      <w:r>
        <w:rPr>
          <w:rFonts w:cs="Arial"/>
          <w:b w:val="false"/>
          <w:bCs w:val="false"/>
          <w:color w:val="auto"/>
          <w:sz w:val="24"/>
          <w:szCs w:val="24"/>
          <w:lang w:val="pt-BR" w:eastAsia="zxx" w:bidi="zxx"/>
        </w:rPr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spacing w:lineRule="auto" w:line="240" w:before="0" w:after="113"/>
        <w:ind w:left="0" w:right="0" w:hanging="0"/>
        <w:jc w:val="both"/>
        <w:rPr>
          <w:rFonts w:ascii="Calibri Light" w:hAnsi="Calibri Light"/>
          <w:color w:val="auto"/>
          <w:sz w:val="24"/>
          <w:szCs w:val="24"/>
          <w:lang w:val="pt-BR"/>
        </w:rPr>
      </w:pP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  <w:t>1.</w:t>
      </w:r>
      <w:r>
        <w:rPr>
          <w:rFonts w:cs="Arial"/>
          <w:color w:val="auto"/>
          <w:sz w:val="24"/>
          <w:szCs w:val="24"/>
          <w:lang w:val="pt-BR" w:eastAsia="zxx" w:bidi="zxx"/>
        </w:rPr>
        <w:t xml:space="preserve"> A empresa acima qualificada, por seu representante legal, propõe a execução dos serviços definidos no Edital e anexos da Licitação indicada, nas seguintes condições.</w:t>
      </w:r>
    </w:p>
    <w:tbl>
      <w:tblPr>
        <w:tblW w:w="9655" w:type="dxa"/>
        <w:jc w:val="left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599"/>
        <w:gridCol w:w="4886"/>
        <w:gridCol w:w="543"/>
        <w:gridCol w:w="837"/>
        <w:gridCol w:w="1329"/>
        <w:gridCol w:w="1460"/>
      </w:tblGrid>
      <w:tr>
        <w:trPr>
          <w:tblHeader w:val="true"/>
          <w:trHeight w:val="6" w:hRule="atLeast"/>
          <w:cantSplit w:val="true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 Light" w:hAnsi="Calibri Ligh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 w:eastAsia="Times New Roman" w:cs="Arial"/>
                <w:b/>
                <w:bCs/>
                <w:color w:val="000000"/>
                <w:sz w:val="18"/>
                <w:szCs w:val="18"/>
                <w:lang w:val="pt-BR" w:eastAsia="pt-BR"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val="pt-BR" w:eastAsia="pt-BR" w:bidi="ar-SA"/>
              </w:rPr>
              <w:t>Descrição/Especificação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Calibri Light" w:hAnsi="Calibri Ligh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 Light" w:hAnsi="Calibri Light"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Qnt Total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center"/>
              <w:rPr>
                <w:rFonts w:ascii="Calibri Light" w:hAnsi="Calibri Light"/>
                <w:b/>
                <w:color w:val="auto"/>
                <w:sz w:val="18"/>
                <w:szCs w:val="18"/>
                <w:lang w:val="pt-BR"/>
              </w:rPr>
            </w:pPr>
            <w:r>
              <w:rPr>
                <w:b/>
                <w:color w:val="auto"/>
                <w:sz w:val="18"/>
                <w:szCs w:val="18"/>
                <w:lang w:val="pt-BR"/>
              </w:rPr>
              <w:t>Preço Unit (R$)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center"/>
              <w:rPr>
                <w:rFonts w:ascii="Calibri Light" w:hAnsi="Calibri Light"/>
                <w:b/>
                <w:color w:val="auto"/>
                <w:sz w:val="18"/>
                <w:szCs w:val="18"/>
                <w:lang w:val="pt-BR"/>
              </w:rPr>
            </w:pPr>
            <w:r>
              <w:rPr>
                <w:b/>
                <w:color w:val="auto"/>
                <w:sz w:val="18"/>
                <w:szCs w:val="18"/>
                <w:lang w:val="pt-BR"/>
              </w:rPr>
              <w:t>Preço Total (R$)</w:t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1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b/>
                <w:sz w:val="18"/>
                <w:szCs w:val="18"/>
                <w:u w:val="none"/>
                <w:shd w:fill="auto" w:val="clear"/>
              </w:rPr>
              <w:t>Serviço TIPO I-A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 de lançamento e instalação de cabo de fibras ópticas, incluindo material para fixação e identificação do cabo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1 - MANAUS-AM)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: cabo com 24 fibras ópticas monomodo, 9/125 micrômetros; contemplando: acessórios para fixação e identificação do cabo; utilizando método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CABEAMENTO AÉREO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68.000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2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b/>
                <w:sz w:val="18"/>
                <w:szCs w:val="18"/>
                <w:u w:val="none"/>
                <w:shd w:fill="auto" w:val="clear"/>
              </w:rPr>
              <w:t>Serviço TIPO I-B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 de lançamento e instalação de cabo de fibras ópticas, incluindo material para fixação, i</w:t>
            </w:r>
            <w:r>
              <w:rPr>
                <w:color w:val="000000"/>
                <w:sz w:val="18"/>
                <w:szCs w:val="18"/>
                <w:u w:val="none"/>
                <w:shd w:fill="auto" w:val="clear"/>
              </w:rPr>
              <w:t xml:space="preserve">nfraestrutura necessária 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e identificação do cabo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1 - MANAUS-AM)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: cabo com 24 fibras ópticas monomodo, 9/125 micrômetros; contemplando: acessórios para fixação e identificação do cabo; utilizando método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 xml:space="preserve">CABEAMENTO SUBTERRÂNEO 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>ou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 xml:space="preserve"> MND (Método não Destrutível)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500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3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ponto lógico categoria 6,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1 - MANAUS-AM)</w:t>
            </w:r>
            <w:r>
              <w:rPr>
                <w:sz w:val="18"/>
                <w:szCs w:val="18"/>
                <w:u w:val="none"/>
                <w:shd w:fill="auto" w:val="clear"/>
              </w:rPr>
              <w:t>: Cabo UTP, conexão com conector tipo keystone, patch panel 24P, patch cord 2,5m e certificação. Execução de infraestrutura metálica e/ou PVC da forma mais apropriada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Ponto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800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4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DIO 24 portas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com acopladores e conectores, fusão, certificação e conexão de todos os pontos; acessórios para fixação e identificação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1 - MANAUS-AM)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80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5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CAIXA DE EMENDA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com acopladores e conectores; fusão e conexão de todos os pontos; acessórios para fixação e identificação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1 - MANAUS-AM)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15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6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RACK 24U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1 - MANAUS-AM)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30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7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RACK 12U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1 - MANAUS-AM)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45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8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>Serviço de FUSÃO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 xml:space="preserve"> de fibra óptica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1 - MANAUS-AM)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40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9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>Serviço de TESTE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 xml:space="preserve"> de fibra óptica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1 - MANAUS-AM)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30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10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b/>
                <w:sz w:val="18"/>
                <w:szCs w:val="18"/>
                <w:u w:val="none"/>
                <w:shd w:fill="auto" w:val="clear"/>
              </w:rPr>
              <w:t>Serviço TIPO I-A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 de lançamento e instalação de cabo de fibras ópticas, incluindo material para fixação e identificação do cabo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 xml:space="preserve">(REGIÃO 2 - IRANDUBA-AM, MANACAPURU-AM, RIO PRETO DA EVA-AM, </w:t>
            </w:r>
            <w:r>
              <w:rPr>
                <w:b/>
                <w:bCs w:val="false"/>
                <w:sz w:val="18"/>
                <w:szCs w:val="18"/>
                <w:u w:val="none"/>
                <w:shd w:fill="auto" w:val="clear"/>
              </w:rPr>
              <w:t xml:space="preserve">NOVO AIRÃO-AM ,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ANAMÃ-AM E ANORI-AM)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: cabo com 24 fibras ópticas monomodo, 9/125 micrômetros; contemplando: acessórios para fixação e identificação do cabo; utilizando método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CABEAMENTO AÉREO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36.000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11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b/>
                <w:sz w:val="18"/>
                <w:szCs w:val="18"/>
                <w:u w:val="none"/>
                <w:shd w:fill="auto" w:val="clear"/>
              </w:rPr>
              <w:t>Serviço TIPO I-B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 de lançamento e instalação de cabo de fibras ópticas, incluindo material para fixação, i</w:t>
            </w:r>
            <w:r>
              <w:rPr>
                <w:color w:val="000000"/>
                <w:sz w:val="18"/>
                <w:szCs w:val="18"/>
                <w:u w:val="none"/>
                <w:shd w:fill="auto" w:val="clear"/>
              </w:rPr>
              <w:t xml:space="preserve">nfraestrutura necessária 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e identificação do cabo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2 - IRANDUBA-AM, MANACAPURU-AM, RIO PRETO DA EVA-AM, NOVO AIRÃO-AM , ANAMÃ-AM E ANORI-AM)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: cabo com 24 fibras ópticas monomodo, 9/125 micrômetros; contemplando: acessórios para fixação e identificação do cabo; utilizando método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 xml:space="preserve">CABEAMENTO SUBTERRÂNEO 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>ou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 xml:space="preserve"> MND (Método não Destrutível)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100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12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ponto lógico categoria 6,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2 - IRANDUBA-AM, MANACAPURU-AM, RIO PRETO DA EVA-AM, NOVO AIRÃO-AM , ANAMÃ-AM E ANORI-AM)</w:t>
            </w:r>
            <w:r>
              <w:rPr>
                <w:sz w:val="18"/>
                <w:szCs w:val="18"/>
                <w:u w:val="none"/>
                <w:shd w:fill="auto" w:val="clear"/>
              </w:rPr>
              <w:t>: Cabo UTP, conexão com conector tipo keystone, patch panel 24P, patch cord 2,5m e certificação. Execução de infraestrutura metálica e/ou PVC da forma mais apropriada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Ponto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800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13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DIO 24 portas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com acopladores e conectores, fusão, certificação e conexão de todos os pontos; acessórios para fixação e identificação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2 - IRANDUBA-AM, MANACAPURU-AM, RIO PRETO DA EVA-AM, NOVO AIRÃO-AM , ANAMÃ-AM E ANORI-AM)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80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14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CAIXA DE EMENDA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com acopladores e conectores; fusão e conexão de todos os pontos; acessórios para fixação e identificação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2 - IRANDUBA-AM, MANACAPURU-AM, RIO PRETO DA EVA-AM, NOVO AIRÃO-AM , ANAMÃ-AM E ANORI-AM)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10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15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RACK 24U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2 - IRANDUBA-AM, MANACAPURU-AM, RIO PRETO DA EVA-AM, NOVO AIRÃO-AM , ANAMÃ-AM E ANORI-AM)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20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16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RACK 12U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2 - IRANDUBA-AM, MANACAPURU-AM, RIO PRETO DA EVA-AM, NOVO AIRÃO-AM , ANAMÃ-AM E ANORI-AM)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65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17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>Serviço de FUSÃO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 xml:space="preserve"> de fibra óptica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2 - IRANDUBA-AM, MANACAPURU-AM, RIO PRETO DA EVA-AM, NOVO AIRÃO-AM , ANAMÃ-AM E ANORI-AM)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20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18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>Serviço de TESTE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 xml:space="preserve"> de fibra óptica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2 - IRANDUBA-AM, MANACAPURU-AM, RIO PRETO DA EVA-AM, NOVO AIRÃO-AM , ANAMÃ-AM E ANORI-AM)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20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19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b/>
                <w:sz w:val="18"/>
                <w:szCs w:val="18"/>
                <w:u w:val="none"/>
                <w:shd w:fill="auto" w:val="clear"/>
              </w:rPr>
              <w:t>Serviço TIPO I-A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 de lançamento e instalação de cabo de fibras ópticas, incluindo material para fixação e identificação do cabo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3 – COARI-AM, TEFÉ-AM, ALVARÃES-AM, CODAJÁS-AM, MANAQUIRI-AM, CAREIRO-AM, CAREIRO DA VÁRZEA-AM)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: cabo com 24 fibras ópticas monomodo, 9/125 micrômetros; contemplando: acessórios para fixação e identificação do cabo; utilizando método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CABEAMENTO AÉREO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36.000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20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b/>
                <w:sz w:val="18"/>
                <w:szCs w:val="18"/>
                <w:u w:val="none"/>
                <w:shd w:fill="auto" w:val="clear"/>
              </w:rPr>
              <w:t>Serviço TIPO I-B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 de lançamento e instalação de cabo de fibras ópticas, incluindo material para fixação, i</w:t>
            </w:r>
            <w:r>
              <w:rPr>
                <w:color w:val="000000"/>
                <w:sz w:val="18"/>
                <w:szCs w:val="18"/>
                <w:u w:val="none"/>
                <w:shd w:fill="auto" w:val="clear"/>
              </w:rPr>
              <w:t xml:space="preserve">nfraestrutura necessária 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e identificação do cabo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3 – COARI-AM, TEFÉ-AM, ALVARÃES-AM, CODAJÁS-AM, MANAQUIRI-AM, CAREIRO-AM, CAREIRO DA VÁRZEA-AM)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: cabo com 24 fibras ópticas monomodo, 9/125 micrômetros; contemplando: acessórios para fixação e identificação do cabo; utilizando método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 xml:space="preserve">CABEAMENTO SUBTERRÂNEO 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>ou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 xml:space="preserve"> MND (Método não Destrutível)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100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21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ponto lógico categoria 6,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3 – COARI-AM, TEFÉ-AM, ALVARÃES-AM, CODAJÁS-AM, MANAQUIRI-AM, CAREIRO-AM, CAREIRO DA VÁRZEA-AM)</w:t>
            </w:r>
            <w:r>
              <w:rPr>
                <w:sz w:val="18"/>
                <w:szCs w:val="18"/>
                <w:u w:val="none"/>
                <w:shd w:fill="auto" w:val="clear"/>
              </w:rPr>
              <w:t>: Cabo UTP, conexão com conector tipo keystone, patch panel 24P, patch cord 2,5m e certificação. Execução de infraestrutura metálica e/ou PVC da forma mais apropriada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Ponto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800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22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DIO 24 portas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com acopladores e conectores, fusão, certificação e conexão de todos os pontos; acessórios para fixação e identificação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3 – COARI-AM, TEFÉ-AM, ALVARÃES-AM, CODAJÁS-AM, MANAQUIRI-AM, CAREIRO-AM, CAREIRO DA VÁRZEA-AM)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80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23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CAIXA DE EMENDA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com acopladores e conectores; fusão e conexão de todos os pontos; acessórios para fixação e identificação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3 – COARI-AM, TEFÉ-AM, ALVARÃES-AM, CODAJÁS-AM, MANAQUIRI-AM, CAREIRO-AM, CAREIRO DA VÁRZEA-AM)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10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24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RACK 24U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3 – COARI-AM, TEFÉ-AM, ALVARÃES-AM, CODAJÁS-AM, MANAQUIRI-AM, CAREIRO-AM, CAREIRO DA VÁRZEA-AM)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20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25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RACK 12U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3 – COARI-AM, TEFÉ-AM, ALVARÃES-AM, CODAJÁS-AM, MANAQUIRI-AM, CAREIRO-AM, CAREIRO DA VÁRZEA-AM)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65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26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>Serviço de FUSÃO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 xml:space="preserve"> de fibra óptica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3 – COARI-AM, TEFÉ-AM, ALVARÃES-AM, CODAJÁS-AM, MANAQUIRI-AM, CAREIRO-AM, CAREIRO DA VÁRZEA-AM)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20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27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>Serviço de TESTE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 xml:space="preserve"> de fibra óptica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3 – COARI-AM, TEFÉ-AM, ALVARÃES-AM, CODAJÁS-AM, MANAQUIRI-AM, CAREIRO-AM, CAREIRO DA VÁRZEA-AM)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20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28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b/>
                <w:sz w:val="18"/>
                <w:szCs w:val="18"/>
                <w:u w:val="none"/>
                <w:shd w:fill="auto" w:val="clear"/>
              </w:rPr>
              <w:t>Serviço TIPO I-A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 de lançamento e instalação de cabo de fibras ópticas, incluindo material para fixação e identificação do cabo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4 -  TONANTIS-AM E TABATINGA-AM)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: cabo com 24 fibras ópticas monomodo, 9/125 micrômetros; contemplando: acessórios para fixação e identificação do cabo; utilizando método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CABEAMENTO AÉREO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36.000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29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b/>
                <w:sz w:val="18"/>
                <w:szCs w:val="18"/>
                <w:u w:val="none"/>
                <w:shd w:fill="auto" w:val="clear"/>
              </w:rPr>
              <w:t>Serviço TIPO I-B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 de lançamento e instalação de cabo de fibras ópticas, incluindo material para fixação, i</w:t>
            </w:r>
            <w:r>
              <w:rPr>
                <w:color w:val="000000"/>
                <w:sz w:val="18"/>
                <w:szCs w:val="18"/>
                <w:u w:val="none"/>
                <w:shd w:fill="auto" w:val="clear"/>
              </w:rPr>
              <w:t xml:space="preserve">nfraestrutura necessária 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e identificação do cabo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4 -  TONANTIS-AM E TABATINGA-AM)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: cabo com 24 fibras ópticas monomodo, 9/125 micrômetros; contemplando: acessórios para fixação e identificação do cabo; utilizando método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 xml:space="preserve">CABEAMENTO SUBTERRÂNEO 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>ou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 xml:space="preserve"> MND (Método não Destrutível)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100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30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ponto lógico categoria 6,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4 -  TONANTIS-AM E TABATINGA-AM)</w:t>
            </w:r>
            <w:r>
              <w:rPr>
                <w:sz w:val="18"/>
                <w:szCs w:val="18"/>
                <w:u w:val="none"/>
                <w:shd w:fill="auto" w:val="clear"/>
              </w:rPr>
              <w:t>: Cabo UTP, conexão com conector tipo keystone, patch panel 24P, patch cord 2,5m e certificação. Execução de infraestrutura metálica e/ou PVC da forma mais apropriada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Ponto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800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31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DIO 24 portas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com acopladores e conectores, fusão, certificação e conexão de todos os pontos; acessórios para fixação e identificação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4 -  TONANTIS-AM E TABATINGA-AM)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80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32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CAIXA DE EMENDA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com acopladores e conectores; fusão e conexão de todos os pontos; acessórios para fixação e identificação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4 -  TONANTIS-AM E TABATINGA-AM)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10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33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RACK 24U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4 -  TONANTIS-AM E TABATINGA-AM)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20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34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RACK 12U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4 -  TONANTIS-AM E TABATINGA-AM)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65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35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>Serviço de FUSÃO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 xml:space="preserve"> de fibra óptica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4 -  TONANTIS-AM E TABATINGA-AM)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20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36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>Serviço de TESTE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 xml:space="preserve"> de fibra óptica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4 -  TONANTIS-AM E TABATINGA-AM)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20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37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b/>
                <w:sz w:val="18"/>
                <w:szCs w:val="18"/>
                <w:u w:val="none"/>
                <w:shd w:fill="auto" w:val="clear"/>
              </w:rPr>
              <w:t>Serviço TIPO I-A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 de lançamento e instalação de cabo de fibras ópticas, incluindo material para fixação e identificação do cabo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5 - PORTO VELHO-RO, GUAJARÁ MIRIM-RO, HUMAITÁ-AM, RIO BRANCO-AC E CRUZEIRO DO SUL-AC)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: cabo com 24 fibras ópticas monomodo, 9/125 micrômetros; contemplando: acessórios para fixação e identificação do cabo; utilizando método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CABEAMENTO AÉREO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36.000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38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b/>
                <w:sz w:val="18"/>
                <w:szCs w:val="18"/>
                <w:u w:val="none"/>
                <w:shd w:fill="auto" w:val="clear"/>
              </w:rPr>
              <w:t>Serviço TIPO I-B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 de lançamento e instalação de cabo de fibras ópticas, incluindo material para fixação, i</w:t>
            </w:r>
            <w:r>
              <w:rPr>
                <w:color w:val="000000"/>
                <w:sz w:val="18"/>
                <w:szCs w:val="18"/>
                <w:u w:val="none"/>
                <w:shd w:fill="auto" w:val="clear"/>
              </w:rPr>
              <w:t xml:space="preserve">nfraestrutura necessária 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e identificação do cabo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5 - PORTO VELHO-RO, GUAJARÁ MIRIM-RO, HUMAITÁ-AM, RIO BRANCO-AC E CRUZEIRO DO SUL-AC)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: cabo com 24 fibras ópticas monomodo, 9/125 micrômetros; contemplando: acessórios para fixação e identificação do cabo; utilizando método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 xml:space="preserve">CABEAMENTO SUBTERRÂNEO 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>ou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 xml:space="preserve"> MND (Método não Destrutível)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100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39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ponto lógico categoria 6,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5 - PORTO VELHO-RO, GUAJARÁ MIRIM-RO, HUMAITÁ-AM, RIO BRANCO-AC E CRUZEIRO DO SUL-AC)</w:t>
            </w:r>
            <w:r>
              <w:rPr>
                <w:sz w:val="18"/>
                <w:szCs w:val="18"/>
                <w:u w:val="none"/>
                <w:shd w:fill="auto" w:val="clear"/>
              </w:rPr>
              <w:t>: Cabo UTP, conexão com conector tipo keystone, patch panel 24P, patch cord 2,5m e certificação. Execução de infraestrutura metálica e/ou PVC da forma mais apropriada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Ponto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800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40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DIO 24 portas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com acopladores e conectores, fusão, certificação e conexão de todos os pontos; acessórios para fixação e identificação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5 - PORTO VELHO-RO, GUAJARÁ MIRIM-RO, HUMAITÁ-AM, RIO BRANCO-AC E CRUZEIRO DO SUL-AC)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80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41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CAIXA DE EMENDA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com acopladores e conectores; fusão e conexão de todos os pontos; acessórios para fixação e identificação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5 - PORTO VELHO-RO, GUAJARÁ MIRIM-RO, HUMAITÁ-AM, RIO BRANCO-AC E CRUZEIRO DO SUL-AC)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10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42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RACK 24U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5 - PORTO VELHO-RO, GUAJARÁ MIRIM-RO, HUMAITÁ-AM, RIO BRANCO-AC E CRUZEIRO DO SUL-AC)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20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43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RACK 12U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5 - PORTO VELHO-RO, GUAJARÁ MIRIM-RO, HUMAITÁ-AM, RIO BRANCO-AC E CRUZEIRO DO SUL-AC)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65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  <w:shd w:fill="auto" w:val="clear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  <w:shd w:fill="auto" w:val="clear"/>
              </w:rPr>
              <w:t>44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>Serviço de FUSÃO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 xml:space="preserve"> de fibra óptica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5 - PORTO VELHO-RO, GUAJARÁ MIRIM-RO, HUMAITÁ-AM, RIO BRANCO-AC E CRUZEIRO DO SUL-AC)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  <w:shd w:fill="auto" w:val="clear"/>
              </w:rPr>
            </w:pPr>
            <w:r>
              <w:rPr>
                <w:sz w:val="18"/>
                <w:szCs w:val="18"/>
                <w:shd w:fill="auto" w:val="clear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20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  <w:shd w:fill="auto" w:val="clear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  <w:shd w:fill="auto" w:val="clear"/>
              </w:rPr>
              <w:t>45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>Serviço de TESTE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 xml:space="preserve"> de fibra óptica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5 - PORTO VELHO-RO, GUAJARÁ MIRIM-RO, HUMAITÁ-AM, RIO BRANCO-AC E CRUZEIRO DO SUL-AC)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  <w:shd w:fill="auto" w:val="clear"/>
              </w:rPr>
            </w:pPr>
            <w:r>
              <w:rPr>
                <w:sz w:val="18"/>
                <w:szCs w:val="18"/>
                <w:shd w:fill="auto" w:val="clear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20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46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b/>
                <w:sz w:val="18"/>
                <w:szCs w:val="18"/>
                <w:u w:val="none"/>
                <w:shd w:fill="auto" w:val="clear"/>
              </w:rPr>
              <w:t>Serviço TIPO I-A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 de lançamento e instalação de cabo de fibras ópticas, incluindo material para fixação e identificação do cabo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6 - SÃO GABRIEL DA CACHOEIRA-AM E BARCELOS-AM)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: cabo com 24 fibras ópticas monomodo, 9/125 micrômetros; contemplando: acessórios para fixação e identificação do cabo; utilizando método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CABEAMENTO AÉREO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36.000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47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b/>
                <w:sz w:val="18"/>
                <w:szCs w:val="18"/>
                <w:u w:val="none"/>
                <w:shd w:fill="auto" w:val="clear"/>
              </w:rPr>
              <w:t>Serviço TIPO I-B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 de lançamento e instalação de cabo de fibras ópticas, incluindo material para fixação, i</w:t>
            </w:r>
            <w:r>
              <w:rPr>
                <w:color w:val="000000"/>
                <w:sz w:val="18"/>
                <w:szCs w:val="18"/>
                <w:u w:val="none"/>
                <w:shd w:fill="auto" w:val="clear"/>
              </w:rPr>
              <w:t xml:space="preserve">nfraestrutura necessária 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e identificação do cabo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6 - SÃO GABRIEL DA CACHOEIRA-AM E BARCELOS-AM)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: cabo com 24 fibras ópticas monomodo, 9/125 micrômetros; contemplando: acessórios para fixação e identificação do cabo; utilizando método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 xml:space="preserve">CABEAMENTO SUBTERRÂNEO 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>ou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 xml:space="preserve"> MND (Método não Destrutível)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100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48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ponto lógico categoria 6,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6 - SÃO GABRIEL DA CACHOEIRA-AM E BARCELOS-AM)</w:t>
            </w:r>
            <w:r>
              <w:rPr>
                <w:sz w:val="18"/>
                <w:szCs w:val="18"/>
                <w:u w:val="none"/>
                <w:shd w:fill="auto" w:val="clear"/>
              </w:rPr>
              <w:t>: Cabo UTP, conexão com conector tipo keystone, patch panel 24P, patch cord 2,5m e certificação. Execução de infraestrutura metálica e/ou PVC da forma mais apropriada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Ponto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800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49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DIO 24 portas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com acopladores e conectores, fusão, certificação e conexão de todos os pontos; acessórios para fixação e identificação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6 - SÃO GABRIEL DA CACHOEIRA-AM E BARCELOS-AM)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80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50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CAIXA DE EMENDA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com acopladores e conectores; fusão e conexão de todos os pontos; acessórios para fixação e identificação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6 - SÃO GABRIEL DA CACHOEIRA-AM E BARCELOS-AM)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10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51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RACK 24U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6 - SÃO GABRIEL DA CACHOEIRA-AM E BARCELOS-AM)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20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52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RACK 12U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6 - SÃO GABRIEL DA CACHOEIRA-AM E BARCELOS-AM)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65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53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>Serviço de FUSÃO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 xml:space="preserve"> de fibra óptica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6 - SÃO GABRIEL DA CACHOEIRA-AM E BARCELOS-AM)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20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54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>Serviço de TESTE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 xml:space="preserve"> de fibra óptica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6 - SÃO GABRIEL DA CACHOEIRA-AM E BARCELOS-AM)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Calibri Light" w:hAnsi="Calibri Light"/>
                <w:color w:val="000000"/>
                <w:sz w:val="18"/>
                <w:szCs w:val="18"/>
                <w:shd w:fill="auto" w:val="clear"/>
              </w:rPr>
              <w:t>20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55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b/>
                <w:sz w:val="18"/>
                <w:szCs w:val="18"/>
                <w:u w:val="none"/>
                <w:shd w:fill="auto" w:val="clear"/>
              </w:rPr>
              <w:t>Serviço TIPO I-A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 de lançamento e instalação de cabo de fibras ópticas, incluindo material para fixação e identificação do cabo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7 - BOA VISTA-RR; BONFIM-RR; PACARAIMA-RR, NORMANDIA-RR)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: cabo com 24 fibras ópticas monomodo, 9/125 micrômetros; contemplando: acessórios para fixação e identificação do cabo; utilizando método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CABEAMENTO AÉREO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tabs>
                <w:tab w:val="clear" w:pos="408"/>
              </w:tabs>
              <w:bidi w:val="0"/>
              <w:spacing w:lineRule="auto" w:line="240" w:before="0" w:after="0"/>
              <w:jc w:val="center"/>
              <w:rPr>
                <w:rFonts w:ascii="Calibri Light" w:hAnsi="Calibri Light"/>
                <w:b w:val="false"/>
                <w:sz w:val="18"/>
                <w:szCs w:val="18"/>
                <w:shd w:fill="auto" w:val="clear"/>
              </w:rPr>
            </w:pPr>
            <w:r>
              <w:rPr>
                <w:b w:val="false"/>
                <w:sz w:val="18"/>
                <w:szCs w:val="18"/>
                <w:shd w:fill="auto" w:val="clear"/>
              </w:rPr>
              <w:t>m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b w:val="false"/>
                <w:sz w:val="18"/>
                <w:szCs w:val="18"/>
              </w:rPr>
            </w:pPr>
            <w:r>
              <w:rPr>
                <w:rFonts w:ascii="Calibri Light" w:hAnsi="Calibri Light"/>
                <w:b w:val="false"/>
                <w:sz w:val="18"/>
                <w:szCs w:val="18"/>
              </w:rPr>
              <w:t>72.000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56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b/>
                <w:sz w:val="18"/>
                <w:szCs w:val="18"/>
                <w:u w:val="none"/>
                <w:shd w:fill="auto" w:val="clear"/>
              </w:rPr>
              <w:t>Serviço TIPO I-B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 de lançamento e instalação de cabo de fibras ópticas, incluindo material para fixação, i</w:t>
            </w:r>
            <w:r>
              <w:rPr>
                <w:color w:val="000000"/>
                <w:sz w:val="18"/>
                <w:szCs w:val="18"/>
                <w:u w:val="none"/>
                <w:shd w:fill="auto" w:val="clear"/>
              </w:rPr>
              <w:t xml:space="preserve">nfraestrutura necessária 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e identificação do cabo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7 - BOA VISTA-RR; BONFIM-RR; PACARAIMA-RR, NORMANDIA-RR)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: cabo com 24 fibras ópticas monomodo, 9/125 micrômetros; contemplando: acessórios para fixação e identificação do cabo; utilizando método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 xml:space="preserve">CABEAMENTO SUBTERRÂNEO 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>ou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 xml:space="preserve"> MND (Método não Destrutível)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tabs>
                <w:tab w:val="clear" w:pos="408"/>
              </w:tabs>
              <w:bidi w:val="0"/>
              <w:spacing w:lineRule="auto" w:line="240" w:before="0" w:after="0"/>
              <w:jc w:val="center"/>
              <w:rPr>
                <w:rFonts w:ascii="Calibri Light" w:hAnsi="Calibri Light"/>
                <w:b w:val="false"/>
                <w:sz w:val="18"/>
                <w:szCs w:val="18"/>
                <w:shd w:fill="auto" w:val="clear"/>
              </w:rPr>
            </w:pPr>
            <w:r>
              <w:rPr>
                <w:b w:val="false"/>
                <w:sz w:val="18"/>
                <w:szCs w:val="18"/>
                <w:shd w:fill="auto" w:val="clear"/>
              </w:rPr>
              <w:t>m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b w:val="false"/>
                <w:sz w:val="18"/>
                <w:szCs w:val="18"/>
              </w:rPr>
            </w:pPr>
            <w:r>
              <w:rPr>
                <w:rFonts w:ascii="Calibri Light" w:hAnsi="Calibri Light"/>
                <w:b w:val="false"/>
                <w:sz w:val="18"/>
                <w:szCs w:val="18"/>
              </w:rPr>
              <w:t>600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57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ponto lógico categoria 6,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7 - BOA VISTA-RR; BONFIM-RR; PACARAIMA-RR, NORMANDIA-RR)</w:t>
            </w:r>
            <w:r>
              <w:rPr>
                <w:sz w:val="18"/>
                <w:szCs w:val="18"/>
                <w:u w:val="none"/>
                <w:shd w:fill="auto" w:val="clear"/>
              </w:rPr>
              <w:t>: Cabo UTP, conexão com conector tipo keystone, patch panel 24P, patch cord 2,5m e certificação. Execução de infraestrutura metálica e/ou PVC da forma mais apropriada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Ponto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b w:val="false"/>
                <w:sz w:val="18"/>
                <w:szCs w:val="18"/>
              </w:rPr>
            </w:pPr>
            <w:r>
              <w:rPr>
                <w:rFonts w:ascii="Calibri Light" w:hAnsi="Calibri Light"/>
                <w:b w:val="false"/>
                <w:sz w:val="18"/>
                <w:szCs w:val="18"/>
              </w:rPr>
              <w:t>2.000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58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DIO 24 portas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com acopladores e conectores, fusão, certificação e conexão de todos os pontos; acessórios para fixação e identificação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7 - BOA VISTA-RR; BONFIM-RR; PACARAIMA-RR, NORMANDIA-RR)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  <w:u w:val="none"/>
              </w:rPr>
            </w:pPr>
            <w:r>
              <w:rPr>
                <w:sz w:val="18"/>
                <w:szCs w:val="18"/>
                <w:u w:val="none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b w:val="false"/>
                <w:sz w:val="18"/>
                <w:szCs w:val="18"/>
              </w:rPr>
            </w:pPr>
            <w:r>
              <w:rPr>
                <w:rFonts w:ascii="Calibri Light" w:hAnsi="Calibri Light"/>
                <w:b w:val="false"/>
                <w:sz w:val="18"/>
                <w:szCs w:val="18"/>
              </w:rPr>
              <w:t>130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59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CAIXA DE EMENDA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com acopladores e conectores; fusão e conexão de todos os pontos; acessórios para fixação e identificação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7 - BOA VISTA-RR; BONFIM-RR; PACARAIMA-RR, NORMANDIA-RR)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b w:val="false"/>
                <w:sz w:val="18"/>
                <w:szCs w:val="18"/>
              </w:rPr>
            </w:pPr>
            <w:r>
              <w:rPr>
                <w:rFonts w:ascii="Calibri Light" w:hAnsi="Calibri Light"/>
                <w:b w:val="false"/>
                <w:sz w:val="18"/>
                <w:szCs w:val="18"/>
              </w:rPr>
              <w:t>160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60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RACK 24U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7 - BOA VISTA-RR; BONFIM-RR; PACARAIMA-RR, NORMANDIA-RR)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b w:val="false"/>
                <w:sz w:val="18"/>
                <w:szCs w:val="18"/>
              </w:rPr>
            </w:pPr>
            <w:r>
              <w:rPr>
                <w:rFonts w:ascii="Calibri Light" w:hAnsi="Calibri Light"/>
                <w:b w:val="false"/>
                <w:sz w:val="18"/>
                <w:szCs w:val="18"/>
              </w:rPr>
              <w:t>30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61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 xml:space="preserve">Serviço de instalação de </w:t>
            </w:r>
            <w:r>
              <w:rPr>
                <w:b/>
                <w:bCs/>
                <w:sz w:val="18"/>
                <w:szCs w:val="18"/>
                <w:u w:val="none"/>
                <w:shd w:fill="auto" w:val="clear"/>
              </w:rPr>
              <w:t>RACK 12U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7 - BOA VISTA-RR; BONFIM-RR; PACARAIMA-RR, NORMANDIA-RR)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b w:val="false"/>
                <w:sz w:val="18"/>
                <w:szCs w:val="18"/>
              </w:rPr>
            </w:pPr>
            <w:r>
              <w:rPr>
                <w:rFonts w:ascii="Calibri Light" w:hAnsi="Calibri Light"/>
                <w:b w:val="false"/>
                <w:sz w:val="18"/>
                <w:szCs w:val="18"/>
              </w:rPr>
              <w:t>90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62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>Serviço de FUSÃO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 xml:space="preserve"> de fibra óptica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7 - BOA VISTA-RR; BONFIM-RR; PACARAIMA-RR, NORMANDIA-RR)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b w:val="false"/>
                <w:sz w:val="18"/>
                <w:szCs w:val="18"/>
              </w:rPr>
            </w:pPr>
            <w:r>
              <w:rPr>
                <w:rFonts w:ascii="Calibri Light" w:hAnsi="Calibri Light"/>
                <w:b w:val="false"/>
                <w:sz w:val="18"/>
                <w:szCs w:val="18"/>
              </w:rPr>
              <w:t>500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  <w:tr>
        <w:trPr>
          <w:trHeight w:val="6" w:hRule="atLeast"/>
          <w:cantSplit w:val="true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i/>
                <w:i/>
                <w:iCs/>
                <w:sz w:val="18"/>
                <w:szCs w:val="18"/>
              </w:rPr>
            </w:pPr>
            <w:r>
              <w:rPr>
                <w:b w:val="false"/>
                <w:bCs/>
                <w:i w:val="false"/>
                <w:iCs/>
                <w:sz w:val="18"/>
                <w:szCs w:val="18"/>
              </w:rPr>
              <w:t>63</w:t>
            </w:r>
          </w:p>
        </w:tc>
        <w:tc>
          <w:tcPr>
            <w:tcW w:w="4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both"/>
              <w:rPr>
                <w:rFonts w:ascii="Calibri Light" w:hAnsi="Calibri Light"/>
                <w:sz w:val="18"/>
                <w:szCs w:val="18"/>
                <w:u w:val="none"/>
                <w:shd w:fill="auto" w:val="clear"/>
              </w:rPr>
            </w:pPr>
            <w:r>
              <w:rPr>
                <w:sz w:val="18"/>
                <w:szCs w:val="18"/>
                <w:u w:val="none"/>
                <w:shd w:fill="auto" w:val="clear"/>
              </w:rPr>
              <w:t>Serviço de TESTE</w:t>
            </w:r>
            <w:r>
              <w:rPr>
                <w:b w:val="false"/>
                <w:bCs w:val="false"/>
                <w:sz w:val="18"/>
                <w:szCs w:val="18"/>
                <w:u w:val="none"/>
                <w:shd w:fill="auto" w:val="clear"/>
              </w:rPr>
              <w:t xml:space="preserve"> de fibra óptica</w:t>
            </w:r>
            <w:r>
              <w:rPr>
                <w:sz w:val="18"/>
                <w:szCs w:val="18"/>
                <w:u w:val="none"/>
                <w:shd w:fill="auto" w:val="clear"/>
              </w:rPr>
              <w:t xml:space="preserve">, incluindo material </w:t>
            </w:r>
            <w:r>
              <w:rPr>
                <w:b/>
                <w:sz w:val="18"/>
                <w:szCs w:val="18"/>
                <w:u w:val="none"/>
                <w:shd w:fill="auto" w:val="clear"/>
              </w:rPr>
              <w:t>(REGIÃO 7 - BOA VISTA-RR; BONFIM-RR; PACARAIMA-RR, NORMANDIA-RR)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rpodotexto"/>
              <w:widowControl w:val="false"/>
              <w:bidi w:val="0"/>
              <w:spacing w:lineRule="auto" w:line="240" w:before="0" w:after="0"/>
              <w:jc w:val="center"/>
              <w:rPr>
                <w:rFonts w:ascii="Calibri Light" w:hAnsi="Calibri Light"/>
                <w:sz w:val="18"/>
                <w:szCs w:val="18"/>
              </w:rPr>
            </w:pPr>
            <w:r>
              <w:rPr>
                <w:sz w:val="18"/>
                <w:szCs w:val="18"/>
              </w:rPr>
              <w:t>Unid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before="170" w:after="0"/>
              <w:jc w:val="right"/>
              <w:rPr>
                <w:rFonts w:ascii="Calibri Light" w:hAnsi="Calibri Light"/>
                <w:b w:val="false"/>
                <w:sz w:val="18"/>
                <w:szCs w:val="18"/>
              </w:rPr>
            </w:pPr>
            <w:r>
              <w:rPr>
                <w:rFonts w:ascii="Calibri Light" w:hAnsi="Calibri Light"/>
                <w:b w:val="false"/>
                <w:sz w:val="18"/>
                <w:szCs w:val="18"/>
              </w:rPr>
              <w:t>260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napToGrid w:val="false"/>
              <w:spacing w:before="170" w:after="0"/>
              <w:jc w:val="right"/>
              <w:rPr>
                <w:rFonts w:ascii="Calibri Light" w:hAnsi="Calibri Light"/>
                <w:b/>
                <w:bCs/>
                <w:color w:val="auto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auto"/>
                <w:sz w:val="20"/>
                <w:szCs w:val="20"/>
                <w:lang w:val="pt-BR"/>
              </w:rPr>
            </w:r>
          </w:p>
        </w:tc>
      </w:tr>
    </w:tbl>
    <w:p>
      <w:pPr>
        <w:pStyle w:val="Corpodotexto"/>
        <w:spacing w:lineRule="auto" w:line="240" w:before="113" w:after="113"/>
        <w:ind w:left="0" w:right="0" w:hanging="0"/>
        <w:jc w:val="both"/>
        <w:rPr>
          <w:rFonts w:ascii="Calibri Light" w:hAnsi="Calibri Light"/>
          <w:color w:val="auto"/>
          <w:sz w:val="24"/>
          <w:szCs w:val="24"/>
          <w:lang w:val="pt-BR"/>
        </w:rPr>
      </w:pP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  <w:t>2.</w:t>
      </w:r>
      <w:r>
        <w:rPr>
          <w:rFonts w:cs="Arial"/>
          <w:color w:val="auto"/>
          <w:sz w:val="24"/>
          <w:szCs w:val="24"/>
          <w:lang w:val="pt-BR" w:eastAsia="zxx" w:bidi="zxx"/>
        </w:rPr>
        <w:t xml:space="preserve"> Preço Total: </w:t>
      </w:r>
      <w:r>
        <w:rPr>
          <w:rFonts w:cs="Arial"/>
          <w:color w:val="FF0000"/>
          <w:sz w:val="24"/>
          <w:szCs w:val="24"/>
          <w:lang w:val="pt-BR" w:eastAsia="zxx" w:bidi="zxx"/>
        </w:rPr>
        <w:t>(por extenso)</w:t>
      </w:r>
    </w:p>
    <w:p>
      <w:pPr>
        <w:pStyle w:val="Normal"/>
        <w:tabs>
          <w:tab w:val="clear" w:pos="408"/>
          <w:tab w:val="left" w:pos="720" w:leader="none"/>
        </w:tabs>
        <w:spacing w:lineRule="auto" w:line="240" w:before="0" w:after="113"/>
        <w:ind w:left="0" w:right="0" w:hanging="0"/>
        <w:jc w:val="both"/>
        <w:rPr>
          <w:rFonts w:ascii="Calibri Light" w:hAnsi="Calibri Light"/>
          <w:color w:val="auto"/>
          <w:sz w:val="24"/>
          <w:szCs w:val="24"/>
          <w:lang w:val="pt-BR"/>
        </w:rPr>
      </w:pPr>
      <w:r>
        <w:rPr>
          <w:b/>
          <w:bCs/>
          <w:color w:val="auto"/>
          <w:sz w:val="24"/>
          <w:szCs w:val="24"/>
          <w:lang w:val="pt-BR"/>
        </w:rPr>
        <w:t>3.</w:t>
      </w:r>
      <w:r>
        <w:rPr>
          <w:color w:val="auto"/>
          <w:sz w:val="24"/>
          <w:szCs w:val="24"/>
          <w:lang w:val="pt-BR"/>
        </w:rPr>
        <w:t xml:space="preserve"> Prazo e condições de execução do serviço: são conforme o Edital e seus anexos.</w:t>
      </w:r>
    </w:p>
    <w:p>
      <w:pPr>
        <w:pStyle w:val="WW-NormalWeb"/>
        <w:tabs>
          <w:tab w:val="clear" w:pos="408"/>
          <w:tab w:val="left" w:pos="720" w:leader="none"/>
        </w:tabs>
        <w:suppressAutoHyphens w:val="true"/>
        <w:spacing w:lineRule="auto" w:line="240" w:before="0" w:after="113"/>
        <w:ind w:left="0" w:right="0" w:hanging="0"/>
        <w:jc w:val="both"/>
        <w:rPr>
          <w:rFonts w:ascii="Calibri Light" w:hAnsi="Calibri Light"/>
          <w:color w:val="auto"/>
          <w:sz w:val="24"/>
          <w:szCs w:val="24"/>
          <w:lang w:val="pt-BR"/>
        </w:rPr>
      </w:pPr>
      <w:r>
        <w:rPr>
          <w:rFonts w:eastAsia="Times New Roman" w:cs="Arial" w:ascii="Calibri Light" w:hAnsi="Calibri Light"/>
          <w:b/>
          <w:bCs/>
          <w:color w:val="auto"/>
          <w:sz w:val="24"/>
          <w:szCs w:val="24"/>
          <w:lang w:val="pt-BR"/>
        </w:rPr>
        <w:t>4.</w:t>
      </w:r>
      <w:r>
        <w:rPr>
          <w:rFonts w:eastAsia="Times New Roman" w:cs="Arial" w:ascii="Calibri Light" w:hAnsi="Calibri Light"/>
          <w:color w:val="auto"/>
          <w:sz w:val="24"/>
          <w:szCs w:val="24"/>
          <w:lang w:val="pt-BR"/>
        </w:rPr>
        <w:t xml:space="preserve"> Validade da proposta: 60 (sessenta) dias.</w:t>
      </w:r>
    </w:p>
    <w:p>
      <w:pPr>
        <w:pStyle w:val="Normal"/>
        <w:tabs>
          <w:tab w:val="clear" w:pos="408"/>
          <w:tab w:val="left" w:pos="720" w:leader="none"/>
        </w:tabs>
        <w:spacing w:lineRule="auto" w:line="240" w:before="0" w:after="113"/>
        <w:ind w:left="0" w:right="0" w:hanging="0"/>
        <w:jc w:val="both"/>
        <w:rPr>
          <w:rFonts w:ascii="Calibri Light" w:hAnsi="Calibri Light" w:cs="Arial"/>
          <w:color w:val="auto"/>
          <w:sz w:val="24"/>
          <w:szCs w:val="24"/>
          <w:lang w:val="pt-BR"/>
        </w:rPr>
      </w:pPr>
      <w:r>
        <w:rPr>
          <w:rFonts w:cs="Arial"/>
          <w:b/>
          <w:bCs/>
          <w:color w:val="auto"/>
          <w:sz w:val="24"/>
          <w:szCs w:val="24"/>
          <w:lang w:val="pt-BR"/>
        </w:rPr>
        <w:t>5.</w:t>
      </w:r>
      <w:r>
        <w:rPr>
          <w:rFonts w:cs="Arial"/>
          <w:color w:val="auto"/>
          <w:sz w:val="24"/>
          <w:szCs w:val="24"/>
          <w:lang w:val="pt-BR"/>
        </w:rPr>
        <w:t xml:space="preserve"> O/A contrato/ata será assinado(a), no prazo determinado no Edital, por:</w:t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Nome Completo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 w:cs="Arial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Cargo/Função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 w:cs="Arial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Idt (n</w:t>
      </w:r>
      <w:r>
        <w:rPr>
          <w:rFonts w:cs="Arial"/>
          <w:b/>
          <w:bCs/>
          <w:color w:val="FF0000"/>
          <w:sz w:val="24"/>
          <w:szCs w:val="24"/>
          <w:u w:val="single"/>
          <w:vertAlign w:val="superscript"/>
          <w:lang w:val="pt-BR" w:eastAsia="zxx" w:bidi="zxx"/>
        </w:rPr>
        <w:t>o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>/UF)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  <w:tab/>
        <w:tab/>
        <w:tab/>
        <w:tab/>
        <w:tab/>
        <w:tab/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CPF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 w:cs="Arial"/>
          <w:color w:val="auto"/>
          <w:sz w:val="24"/>
          <w:szCs w:val="24"/>
          <w:lang w:val="pt-BR" w:eastAsia="zxx" w:bidi="zxx"/>
        </w:rPr>
      </w:pPr>
      <w:r>
        <w:rPr>
          <w:rFonts w:cs="Arial"/>
          <w:color w:val="auto"/>
          <w:sz w:val="24"/>
          <w:szCs w:val="24"/>
          <w:lang w:val="pt-BR" w:eastAsia="zxx" w:bidi="zxx"/>
        </w:rPr>
      </w:r>
    </w:p>
    <w:p>
      <w:pPr>
        <w:pStyle w:val="Corpodetexto31"/>
        <w:tabs>
          <w:tab w:val="clear" w:pos="408"/>
          <w:tab w:val="left" w:pos="720" w:leader="none"/>
        </w:tabs>
        <w:spacing w:lineRule="auto" w:line="240" w:before="0" w:after="113"/>
        <w:ind w:left="0" w:right="0" w:hanging="0"/>
        <w:rPr>
          <w:rFonts w:ascii="Calibri Light" w:hAnsi="Calibri Light" w:cs="Arial"/>
          <w:color w:val="auto"/>
          <w:sz w:val="24"/>
          <w:szCs w:val="24"/>
          <w:lang w:val="pt-BR"/>
        </w:rPr>
      </w:pPr>
      <w:r>
        <w:rPr>
          <w:rFonts w:cs="Arial" w:ascii="Calibri Light" w:hAnsi="Calibri Light"/>
          <w:b/>
          <w:bCs/>
          <w:color w:val="auto"/>
          <w:sz w:val="24"/>
          <w:szCs w:val="24"/>
          <w:lang w:val="pt-BR"/>
        </w:rPr>
        <w:t>6.</w:t>
      </w:r>
      <w:r>
        <w:rPr>
          <w:rFonts w:cs="Arial" w:ascii="Calibri Light" w:hAnsi="Calibri Light"/>
          <w:color w:val="auto"/>
          <w:sz w:val="24"/>
          <w:szCs w:val="24"/>
          <w:lang w:val="pt-BR"/>
        </w:rPr>
        <w:t xml:space="preserve"> Os preços contidos nesta proposta incluem todos os custos e despesas, tais como e sem se limitar a: custos diretos e indiretos, tributos incidentes, taxas de administração, materiais, serviços, encargos sociais, seguros, bem como todos os encargos trabalhistas, previdenciários, fiscais, comerciais, fretes e quaisquer outros que incidam direta ou indiretamente na execução do objeto desta Licitação.</w:t>
      </w:r>
    </w:p>
    <w:p>
      <w:pPr>
        <w:pStyle w:val="Normal"/>
        <w:tabs>
          <w:tab w:val="clear" w:pos="408"/>
          <w:tab w:val="left" w:pos="720" w:leader="none"/>
        </w:tabs>
        <w:spacing w:lineRule="auto" w:line="240" w:before="0" w:after="0"/>
        <w:ind w:left="0" w:right="0" w:hanging="0"/>
        <w:jc w:val="both"/>
        <w:rPr>
          <w:rFonts w:ascii="Calibri Light" w:hAnsi="Calibri Light"/>
          <w:sz w:val="24"/>
          <w:szCs w:val="24"/>
          <w:lang w:val="pt-BR"/>
        </w:rPr>
      </w:pPr>
      <w:r>
        <w:rPr>
          <w:b/>
          <w:bCs/>
          <w:sz w:val="24"/>
          <w:szCs w:val="24"/>
          <w:lang w:val="pt-BR"/>
        </w:rPr>
        <w:t>7.</w:t>
      </w:r>
      <w:r>
        <w:rPr>
          <w:sz w:val="24"/>
          <w:szCs w:val="24"/>
          <w:lang w:val="pt-BR"/>
        </w:rPr>
        <w:t xml:space="preserve"> Há pleno acordo com todas as condições estabelecidas no Edital e seus anexos.</w:t>
      </w:r>
    </w:p>
    <w:p>
      <w:pPr>
        <w:pStyle w:val="Normal"/>
        <w:tabs>
          <w:tab w:val="clear" w:pos="408"/>
          <w:tab w:val="left" w:pos="720" w:leader="none"/>
        </w:tabs>
        <w:spacing w:lineRule="auto" w:line="240" w:before="0" w:after="0"/>
        <w:ind w:left="0" w:right="0" w:hanging="0"/>
        <w:jc w:val="both"/>
        <w:rPr>
          <w:rFonts w:ascii="Calibri Light" w:hAnsi="Calibri Light"/>
          <w:sz w:val="24"/>
          <w:szCs w:val="24"/>
          <w:lang w:val="pt-BR"/>
        </w:rPr>
      </w:pPr>
      <w:r>
        <w:rPr>
          <w:sz w:val="24"/>
          <w:szCs w:val="24"/>
          <w:lang w:val="pt-BR"/>
        </w:rPr>
      </w:r>
    </w:p>
    <w:p>
      <w:pPr>
        <w:pStyle w:val="Normal"/>
        <w:suppressAutoHyphens w:val="false"/>
        <w:spacing w:lineRule="auto" w:line="240" w:before="0" w:after="0"/>
        <w:ind w:left="0" w:right="0" w:hanging="0"/>
        <w:jc w:val="center"/>
        <w:rPr>
          <w:rFonts w:ascii="Calibri Light" w:hAnsi="Calibri Light" w:cs="Arial"/>
          <w:color w:val="FF3333"/>
          <w:sz w:val="24"/>
          <w:szCs w:val="24"/>
          <w:lang w:val="pt-BR"/>
        </w:rPr>
      </w:pPr>
      <w:r>
        <w:rPr>
          <w:rFonts w:cs="Arial"/>
          <w:color w:val="FF3333"/>
          <w:sz w:val="24"/>
          <w:szCs w:val="24"/>
          <w:lang w:val="pt-BR"/>
        </w:rPr>
        <w:t>Local e data</w:t>
      </w:r>
    </w:p>
    <w:p>
      <w:pPr>
        <w:pStyle w:val="Normal"/>
        <w:suppressAutoHyphens w:val="false"/>
        <w:spacing w:lineRule="auto" w:line="240" w:before="0" w:after="0"/>
        <w:ind w:left="0" w:right="0" w:hanging="0"/>
        <w:jc w:val="center"/>
        <w:rPr>
          <w:rFonts w:ascii="Calibri Light" w:hAnsi="Calibri Light" w:cs="Arial"/>
          <w:color w:val="FF0000"/>
          <w:sz w:val="24"/>
          <w:szCs w:val="24"/>
          <w:lang w:val="pt-BR"/>
        </w:rPr>
      </w:pPr>
      <w:r>
        <w:rPr>
          <w:rFonts w:cs="Arial"/>
          <w:color w:val="FF0000"/>
          <w:sz w:val="24"/>
          <w:szCs w:val="24"/>
          <w:lang w:val="pt-BR"/>
        </w:rPr>
      </w:r>
    </w:p>
    <w:p>
      <w:pPr>
        <w:pStyle w:val="Normal"/>
        <w:suppressAutoHyphens w:val="false"/>
        <w:spacing w:lineRule="auto" w:line="240" w:before="0" w:after="0"/>
        <w:ind w:left="0" w:right="0" w:hanging="0"/>
        <w:jc w:val="center"/>
        <w:rPr>
          <w:rFonts w:ascii="Calibri Light" w:hAnsi="Calibri Light" w:cs="Arial"/>
          <w:color w:val="FF3333"/>
          <w:sz w:val="24"/>
          <w:szCs w:val="24"/>
          <w:lang w:val="pt-BR"/>
        </w:rPr>
      </w:pPr>
      <w:r>
        <w:rPr>
          <w:rFonts w:cs="Arial"/>
          <w:color w:val="FF3333"/>
          <w:sz w:val="24"/>
          <w:szCs w:val="24"/>
          <w:lang w:val="pt-BR"/>
        </w:rPr>
        <w:t>Representante Legal</w:t>
      </w:r>
    </w:p>
    <w:p>
      <w:pPr>
        <w:pStyle w:val="Normal"/>
        <w:tabs>
          <w:tab w:val="clear" w:pos="408"/>
        </w:tabs>
        <w:suppressAutoHyphens w:val="false"/>
        <w:spacing w:lineRule="auto" w:line="240" w:before="0" w:after="0"/>
        <w:ind w:left="0" w:right="0" w:hanging="0"/>
        <w:jc w:val="center"/>
        <w:rPr>
          <w:rFonts w:ascii="Times New Roman" w:hAnsi="Times New Roman"/>
          <w:color w:val="FF3333"/>
          <w:sz w:val="24"/>
          <w:szCs w:val="24"/>
        </w:rPr>
      </w:pPr>
      <w:r>
        <w:rPr>
          <w:rStyle w:val="Fontepargpadro"/>
          <w:rFonts w:eastAsia="Arial" w:cs="Arial"/>
          <w:color w:val="FF3333"/>
          <w:sz w:val="24"/>
          <w:szCs w:val="24"/>
          <w:shd w:fill="auto" w:val="clear"/>
          <w:lang w:val="pt-BR" w:eastAsia="pt-BR" w:bidi="pt-BR"/>
        </w:rPr>
        <w:t>Idt / CPF</w:t>
      </w:r>
      <w:r>
        <w:br w:type="page"/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center"/>
        <w:rPr>
          <w:rFonts w:ascii="Calibri Light" w:hAnsi="Calibri Light"/>
          <w:color w:val="FF3333"/>
          <w:sz w:val="24"/>
          <w:szCs w:val="24"/>
        </w:rPr>
      </w:pPr>
      <w:r>
        <w:rPr>
          <w:rFonts w:cs="Arial"/>
          <w:b/>
          <w:bCs/>
          <w:color w:val="auto"/>
          <w:sz w:val="24"/>
          <w:szCs w:val="24"/>
          <w:lang w:val="pt-BR"/>
        </w:rPr>
        <w:t xml:space="preserve">ANEXO III </w:t>
      </w:r>
      <w:r>
        <w:rPr>
          <w:rFonts w:cs="Arial"/>
          <w:b/>
          <w:bCs/>
          <w:color w:val="000000"/>
          <w:sz w:val="24"/>
          <w:szCs w:val="24"/>
          <w:shd w:fill="auto" w:val="clear"/>
          <w:lang w:val="pt-BR"/>
        </w:rPr>
        <w:t>-</w:t>
      </w:r>
      <w:r>
        <w:rPr>
          <w:rFonts w:cs="Arial"/>
          <w:b/>
          <w:bCs/>
          <w:color w:val="auto"/>
          <w:sz w:val="24"/>
          <w:szCs w:val="24"/>
          <w:lang w:val="pt-BR"/>
        </w:rPr>
        <w:t xml:space="preserve"> MODELO DE PLANILHA DE CUSTOS E FORMAÇÃO DE </w:t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center"/>
        <w:rPr>
          <w:rFonts w:ascii="Calibri Light" w:hAnsi="Calibri Light" w:cs="Arial"/>
          <w:b/>
          <w:bCs/>
          <w:color w:val="auto"/>
          <w:sz w:val="24"/>
          <w:szCs w:val="24"/>
          <w:lang w:val="pt-BR"/>
        </w:rPr>
      </w:pPr>
      <w:r>
        <w:rPr>
          <w:rFonts w:cs="Arial"/>
          <w:b/>
          <w:bCs/>
          <w:color w:val="auto"/>
          <w:sz w:val="24"/>
          <w:szCs w:val="24"/>
          <w:lang w:val="pt-BR"/>
        </w:rPr>
        <w:t>PREÇOS</w:t>
      </w:r>
    </w:p>
    <w:p>
      <w:pPr>
        <w:pStyle w:val="Normal"/>
        <w:widowControl/>
        <w:bidi w:val="0"/>
        <w:spacing w:lineRule="auto" w:line="240" w:before="0" w:after="0"/>
        <w:jc w:val="center"/>
        <w:rPr>
          <w:rFonts w:ascii="Calibri Light" w:hAnsi="Calibri Light" w:cs="Arial"/>
          <w:b w:val="false"/>
          <w:bCs w:val="false"/>
          <w:color w:val="auto"/>
          <w:sz w:val="24"/>
          <w:szCs w:val="24"/>
          <w:lang w:val="pt-BR"/>
        </w:rPr>
      </w:pPr>
      <w:r>
        <w:rPr>
          <w:rFonts w:cs="Arial"/>
          <w:b w:val="false"/>
          <w:bCs w:val="false"/>
          <w:color w:val="auto"/>
          <w:sz w:val="24"/>
          <w:szCs w:val="24"/>
          <w:lang w:val="pt-BR"/>
        </w:rPr>
      </w:r>
    </w:p>
    <w:p>
      <w:pPr>
        <w:pStyle w:val="Normal"/>
        <w:keepNext w:val="true"/>
        <w:widowControl/>
        <w:tabs>
          <w:tab w:val="clear" w:pos="408"/>
          <w:tab w:val="left" w:pos="540" w:leader="none"/>
          <w:tab w:val="left" w:pos="1701" w:leader="none"/>
        </w:tabs>
        <w:bidi w:val="0"/>
        <w:spacing w:lineRule="auto" w:line="240" w:before="0" w:after="113"/>
        <w:jc w:val="center"/>
        <w:rPr>
          <w:rFonts w:ascii="Calibri Light" w:hAnsi="Calibri Light" w:eastAsia="Arial" w:cs="Arial"/>
          <w:b w:val="false"/>
          <w:bCs w:val="false"/>
          <w:color w:val="FF0000"/>
          <w:sz w:val="24"/>
          <w:szCs w:val="24"/>
          <w:lang w:val="pt-BR" w:eastAsia="zxx" w:bidi="zxx"/>
        </w:rPr>
      </w:pPr>
      <w:r>
        <w:rPr>
          <w:rFonts w:eastAsia="Arial" w:cs="Arial"/>
          <w:b w:val="false"/>
          <w:bCs w:val="false"/>
          <w:color w:val="FF0000"/>
          <w:sz w:val="24"/>
          <w:szCs w:val="24"/>
          <w:lang w:val="pt-BR" w:eastAsia="zxx" w:bidi="zxx"/>
        </w:rPr>
        <w:t>EM PAPEL TIMBRADO</w:t>
      </w:r>
    </w:p>
    <w:p>
      <w:pPr>
        <w:pStyle w:val="Corpodotexto"/>
        <w:jc w:val="center"/>
        <w:rPr>
          <w:rFonts w:ascii="Calibri Light" w:hAnsi="Calibri Light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PLANILHA DE CUSTOS E FORMAÇÃO DE PREÇOS</w:t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/>
          <w:b/>
          <w:bCs/>
          <w:color w:val="auto"/>
          <w:sz w:val="24"/>
          <w:szCs w:val="24"/>
          <w:lang w:val="pt-BR"/>
        </w:rPr>
      </w:pP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  <w:t>Pregão SR</w:t>
      </w:r>
      <w:r>
        <w:rPr>
          <w:rFonts w:cs="Arial"/>
          <w:b/>
          <w:bCs/>
          <w:color w:val="000000"/>
          <w:sz w:val="24"/>
          <w:szCs w:val="24"/>
          <w:lang w:val="pt-BR" w:eastAsia="zxx" w:bidi="zxx"/>
        </w:rPr>
        <w:t xml:space="preserve">P nº 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xx/20xx</w:t>
      </w:r>
      <w:r>
        <w:rPr>
          <w:rFonts w:cs="Arial"/>
          <w:b/>
          <w:bCs/>
          <w:color w:val="00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000000"/>
          <w:sz w:val="24"/>
          <w:szCs w:val="24"/>
          <w:lang w:val="pt-BR" w:eastAsia="zxx" w:bidi="zxx"/>
        </w:rPr>
        <w:t>Cmdo CMA</w:t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 w:cs="Arial"/>
          <w:b/>
          <w:bCs/>
          <w:color w:val="FF3333"/>
          <w:sz w:val="24"/>
          <w:szCs w:val="24"/>
          <w:lang w:val="pt-BR" w:eastAsia="zxx" w:bidi="zxx"/>
        </w:rPr>
      </w:pPr>
      <w:r>
        <w:rPr>
          <w:rFonts w:cs="Arial"/>
          <w:b/>
          <w:bCs/>
          <w:color w:val="FF3333"/>
          <w:sz w:val="24"/>
          <w:szCs w:val="24"/>
          <w:lang w:val="pt-BR" w:eastAsia="zxx" w:bidi="zxx"/>
        </w:rPr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uppressAutoHyphens w:val="false"/>
        <w:spacing w:lineRule="auto" w:line="240" w:before="0" w:after="113"/>
        <w:ind w:left="0" w:right="0" w:hanging="0"/>
        <w:jc w:val="both"/>
        <w:rPr>
          <w:rFonts w:ascii="Calibri Light" w:hAnsi="Calibri Light"/>
          <w:b/>
          <w:bCs/>
          <w:color w:val="auto"/>
          <w:sz w:val="24"/>
          <w:szCs w:val="24"/>
          <w:lang w:val="pt-BR"/>
        </w:rPr>
      </w:pPr>
      <w:r>
        <w:rPr>
          <w:rFonts w:cs="Arial"/>
          <w:b/>
          <w:bCs/>
          <w:color w:val="FF3333"/>
          <w:sz w:val="24"/>
          <w:szCs w:val="24"/>
          <w:lang w:val="pt-BR" w:eastAsia="zxx" w:bidi="zxx"/>
        </w:rPr>
        <w:t xml:space="preserve">Item x </w:t>
      </w:r>
      <w:r>
        <w:rPr>
          <w:rFonts w:cs="Arial"/>
          <w:b/>
          <w:bCs/>
          <w:color w:val="FF3333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3333"/>
          <w:sz w:val="24"/>
          <w:szCs w:val="24"/>
          <w:lang w:val="pt-BR" w:eastAsia="zxx" w:bidi="zxx"/>
        </w:rPr>
        <w:t xml:space="preserve"> xxxxxxxx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01"/>
        <w:gridCol w:w="6448"/>
        <w:gridCol w:w="1382"/>
        <w:gridCol w:w="1206"/>
      </w:tblGrid>
      <w:tr>
        <w:trPr>
          <w:tblHeader w:val="true"/>
          <w:cantSplit w:val="true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Ord</w:t>
            </w:r>
          </w:p>
        </w:tc>
        <w:tc>
          <w:tcPr>
            <w:tcW w:w="6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Percentual de Custos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(R$)</w:t>
            </w:r>
          </w:p>
        </w:tc>
      </w:tr>
      <w:tr>
        <w:trPr>
          <w:cantSplit w:val="true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64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  <w:t>Custos Diretos (materiais, ferramentas, Eqp, mão</w:t>
            </w:r>
            <w:r>
              <w:rPr>
                <w:sz w:val="20"/>
                <w:szCs w:val="20"/>
                <w:shd w:fill="auto" w:val="clear"/>
              </w:rPr>
              <w:t>-</w:t>
            </w:r>
            <w:r>
              <w:rPr>
                <w:sz w:val="20"/>
                <w:szCs w:val="20"/>
              </w:rPr>
              <w:t>de</w:t>
            </w:r>
            <w:r>
              <w:rPr>
                <w:sz w:val="20"/>
                <w:szCs w:val="20"/>
                <w:shd w:fill="auto" w:val="clear"/>
              </w:rPr>
              <w:t>-</w:t>
            </w:r>
            <w:r>
              <w:rPr>
                <w:sz w:val="20"/>
                <w:szCs w:val="20"/>
              </w:rPr>
              <w:t>obra, Sv, outros)</w:t>
            </w: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  <w:t>xx,xx%</w:t>
            </w:r>
          </w:p>
        </w:tc>
        <w:tc>
          <w:tcPr>
            <w:tcW w:w="1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righ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64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  <w:t>Despesas Indiretas (financeiras, administrativas, sociais, trabalhistas, previdenciários, outros)</w:t>
            </w: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  <w:t>xx,xx%</w:t>
            </w:r>
          </w:p>
        </w:tc>
        <w:tc>
          <w:tcPr>
            <w:tcW w:w="1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righ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64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  <w:t>Lucro</w:t>
            </w: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  <w:t>x,xx%</w:t>
            </w:r>
          </w:p>
        </w:tc>
        <w:tc>
          <w:tcPr>
            <w:tcW w:w="1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righ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64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Tributos (ISS, PIS, COFINS, outros) </w:t>
            </w: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  <w:t>x,xx%</w:t>
            </w:r>
          </w:p>
        </w:tc>
        <w:tc>
          <w:tcPr>
            <w:tcW w:w="1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righ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64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3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pacing w:before="170" w:after="0"/>
              <w:jc w:val="right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Calibri Light" w:hAnsi="Calibri Light"/>
        </w:rPr>
      </w:pPr>
      <w:r>
        <w:rPr/>
      </w:r>
    </w:p>
    <w:p>
      <w:pPr>
        <w:pStyle w:val="Normal"/>
        <w:suppressAutoHyphens w:val="false"/>
        <w:spacing w:lineRule="atLeast" w:line="200"/>
        <w:jc w:val="center"/>
        <w:rPr>
          <w:rFonts w:ascii="Calibri Light" w:hAnsi="Calibri Light" w:cs="Arial"/>
          <w:color w:val="FF0000"/>
          <w:sz w:val="24"/>
          <w:szCs w:val="24"/>
          <w:lang w:val="pt-BR"/>
        </w:rPr>
      </w:pPr>
      <w:r>
        <w:rPr>
          <w:rFonts w:cs="Arial"/>
          <w:color w:val="FF0000"/>
          <w:sz w:val="24"/>
          <w:szCs w:val="24"/>
          <w:lang w:val="pt-BR"/>
        </w:rPr>
      </w:r>
    </w:p>
    <w:p>
      <w:pPr>
        <w:pStyle w:val="Normal"/>
        <w:suppressAutoHyphens w:val="false"/>
        <w:spacing w:lineRule="atLeast" w:line="200"/>
        <w:jc w:val="center"/>
        <w:rPr>
          <w:rFonts w:ascii="Calibri Light" w:hAnsi="Calibri Light" w:cs="Arial"/>
          <w:color w:val="FF0000"/>
          <w:sz w:val="24"/>
          <w:szCs w:val="24"/>
          <w:lang w:val="pt-BR"/>
        </w:rPr>
      </w:pPr>
      <w:r>
        <w:rPr>
          <w:rFonts w:cs="Arial"/>
          <w:color w:val="FF0000"/>
          <w:sz w:val="24"/>
          <w:szCs w:val="24"/>
          <w:lang w:val="pt-BR"/>
        </w:rPr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Calibri Light" w:hAnsi="Calibri Light" w:cs="Arial"/>
          <w:color w:val="FF0000"/>
          <w:sz w:val="24"/>
          <w:szCs w:val="24"/>
          <w:lang w:val="pt-BR"/>
        </w:rPr>
      </w:pPr>
      <w:r>
        <w:rPr>
          <w:rFonts w:cs="Arial"/>
          <w:color w:val="FF0000"/>
          <w:sz w:val="24"/>
          <w:szCs w:val="24"/>
          <w:lang w:val="pt-BR"/>
        </w:rPr>
        <w:t>Local e data</w:t>
      </w:r>
    </w:p>
    <w:p>
      <w:pPr>
        <w:pStyle w:val="Normal"/>
        <w:suppressAutoHyphens w:val="false"/>
        <w:spacing w:lineRule="atLeast" w:line="200"/>
        <w:jc w:val="center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color w:val="FF0000"/>
          <w:sz w:val="24"/>
          <w:szCs w:val="24"/>
          <w:lang w:val="pt-BR"/>
        </w:rPr>
      </w:r>
    </w:p>
    <w:p>
      <w:pPr>
        <w:pStyle w:val="Normal"/>
        <w:suppressAutoHyphens w:val="false"/>
        <w:spacing w:lineRule="atLeast" w:line="200"/>
        <w:jc w:val="center"/>
        <w:rPr>
          <w:rFonts w:ascii="Calibri Light" w:hAnsi="Calibri Light" w:cs="Arial"/>
          <w:color w:val="FF0000"/>
          <w:sz w:val="24"/>
          <w:szCs w:val="24"/>
          <w:lang w:val="pt-BR"/>
        </w:rPr>
      </w:pPr>
      <w:r>
        <w:rPr>
          <w:rFonts w:cs="Arial"/>
          <w:color w:val="FF0000"/>
          <w:sz w:val="24"/>
          <w:szCs w:val="24"/>
          <w:lang w:val="pt-BR"/>
        </w:rPr>
      </w:r>
    </w:p>
    <w:p>
      <w:pPr>
        <w:pStyle w:val="Normal"/>
        <w:suppressAutoHyphens w:val="false"/>
        <w:spacing w:lineRule="atLeast" w:line="200"/>
        <w:jc w:val="center"/>
        <w:rPr>
          <w:rFonts w:ascii="Calibri Light" w:hAnsi="Calibri Light" w:cs="Arial"/>
          <w:color w:val="FF0000"/>
          <w:sz w:val="24"/>
          <w:szCs w:val="24"/>
          <w:lang w:val="pt-BR"/>
        </w:rPr>
      </w:pPr>
      <w:r>
        <w:rPr>
          <w:rFonts w:cs="Arial"/>
          <w:color w:val="FF0000"/>
          <w:sz w:val="24"/>
          <w:szCs w:val="24"/>
          <w:lang w:val="pt-BR"/>
        </w:rPr>
        <w:t>Responsável ou Representante Legal</w:t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spacing w:lineRule="atLeast" w:line="200" w:before="0" w:after="113"/>
        <w:ind w:left="0" w:right="0" w:hanging="0"/>
        <w:jc w:val="center"/>
        <w:rPr>
          <w:rFonts w:ascii="Calibri Light" w:hAnsi="Calibri Light" w:cs="Arial"/>
          <w:b w:val="false"/>
          <w:bCs w:val="false"/>
          <w:color w:val="FF0000"/>
          <w:sz w:val="24"/>
          <w:szCs w:val="24"/>
          <w:lang w:val="pt-BR" w:eastAsia="pt-BR" w:bidi="pt-BR"/>
        </w:rPr>
      </w:pPr>
      <w:r>
        <w:rPr>
          <w:rFonts w:cs="Arial"/>
          <w:b w:val="false"/>
          <w:bCs w:val="false"/>
          <w:color w:val="FF0000"/>
          <w:sz w:val="24"/>
          <w:szCs w:val="24"/>
          <w:lang w:val="pt-BR" w:eastAsia="pt-BR" w:bidi="pt-BR"/>
        </w:rPr>
        <w:t>Idt / CPF</w:t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spacing w:lineRule="atLeast" w:line="200" w:before="0" w:after="113"/>
        <w:ind w:left="0" w:right="0" w:hanging="0"/>
        <w:jc w:val="center"/>
        <w:rPr>
          <w:rFonts w:ascii="Calibri Light" w:hAnsi="Calibri Light" w:cs="Arial"/>
          <w:b w:val="false"/>
          <w:bCs w:val="false"/>
          <w:color w:val="FF0000"/>
          <w:sz w:val="24"/>
          <w:szCs w:val="24"/>
          <w:lang w:val="pt-BR" w:eastAsia="pt-BR" w:bidi="pt-BR"/>
        </w:rPr>
      </w:pPr>
      <w:r>
        <w:rPr>
          <w:rFonts w:cs="Arial"/>
          <w:b w:val="false"/>
          <w:bCs w:val="false"/>
          <w:color w:val="FF0000"/>
          <w:sz w:val="24"/>
          <w:szCs w:val="24"/>
          <w:lang w:val="pt-BR" w:eastAsia="pt-BR" w:bidi="pt-BR"/>
        </w:rPr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spacing w:lineRule="atLeast" w:line="200" w:before="0" w:after="113"/>
        <w:ind w:left="0" w:right="0" w:hanging="0"/>
        <w:jc w:val="both"/>
        <w:rPr>
          <w:rFonts w:ascii="Calibri Light" w:hAnsi="Calibri Light" w:cs="Arial"/>
          <w:b w:val="false"/>
          <w:bCs w:val="false"/>
          <w:color w:val="FF0000"/>
          <w:sz w:val="24"/>
          <w:szCs w:val="24"/>
          <w:lang w:val="pt-BR" w:eastAsia="pt-BR" w:bidi="pt-BR"/>
        </w:rPr>
      </w:pPr>
      <w:r>
        <w:rPr>
          <w:rFonts w:cs="Arial"/>
          <w:b w:val="false"/>
          <w:bCs w:val="false"/>
          <w:color w:val="FF0000"/>
          <w:sz w:val="24"/>
          <w:szCs w:val="24"/>
          <w:lang w:val="pt-BR" w:eastAsia="pt-BR" w:bidi="pt-BR"/>
        </w:rPr>
        <w:t>Obs 1: esta planilha deverá ser encaminhada junto à Proposta Final de Preços;</w:t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bidi w:val="0"/>
        <w:spacing w:lineRule="atLeast" w:line="200" w:before="0" w:after="113"/>
        <w:ind w:left="0" w:right="0" w:hanging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Style w:val="Fontepargpadro"/>
          <w:rFonts w:eastAsia="Arial" w:cs="Arial"/>
          <w:b w:val="false"/>
          <w:bCs w:val="false"/>
          <w:color w:val="FF0000"/>
          <w:spacing w:val="0"/>
          <w:sz w:val="24"/>
          <w:szCs w:val="24"/>
          <w:shd w:fill="auto" w:val="clear"/>
          <w:lang w:val="pt-BR" w:eastAsia="pt-BR" w:bidi="pt-BR"/>
        </w:rPr>
        <w:t>Obs 2: os percentuais devem refletir a composição dos custos do licitante.</w:t>
      </w:r>
      <w:r>
        <w:br w:type="page"/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bidi w:val="0"/>
        <w:spacing w:lineRule="atLeast" w:line="200" w:before="0" w:after="113"/>
        <w:ind w:left="0" w:right="0" w:hanging="0"/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cs="Arial"/>
          <w:b/>
          <w:bCs/>
          <w:color w:val="auto"/>
          <w:sz w:val="24"/>
          <w:szCs w:val="24"/>
        </w:rPr>
        <w:t>ANEXO IV – MODELO DE DECLARAÇÃO DE PLENO CONHECIMENTO</w:t>
      </w:r>
    </w:p>
    <w:p>
      <w:pPr>
        <w:pStyle w:val="Normal"/>
        <w:keepNext w:val="true"/>
        <w:widowControl/>
        <w:tabs>
          <w:tab w:val="clear" w:pos="408"/>
          <w:tab w:val="left" w:pos="540" w:leader="none"/>
          <w:tab w:val="left" w:pos="1701" w:leader="none"/>
        </w:tabs>
        <w:suppressAutoHyphens w:val="false"/>
        <w:bidi w:val="0"/>
        <w:spacing w:lineRule="atLeast" w:line="200" w:before="0" w:after="0"/>
        <w:ind w:left="0" w:right="0" w:hanging="0"/>
        <w:jc w:val="center"/>
        <w:rPr>
          <w:rFonts w:ascii="Calibri Light" w:hAnsi="Calibri Light" w:eastAsia="Arial" w:cs="Arial"/>
          <w:b w:val="false"/>
          <w:bCs w:val="false"/>
          <w:color w:val="auto"/>
          <w:sz w:val="20"/>
          <w:szCs w:val="20"/>
          <w:lang w:val="pt-BR" w:eastAsia="zxx" w:bidi="zxx"/>
        </w:rPr>
      </w:pPr>
      <w:r>
        <w:rPr>
          <w:rFonts w:eastAsia="Arial" w:cs="Arial"/>
          <w:b w:val="false"/>
          <w:bCs w:val="false"/>
          <w:color w:val="auto"/>
          <w:sz w:val="20"/>
          <w:szCs w:val="20"/>
          <w:lang w:val="pt-BR" w:eastAsia="zxx" w:bidi="zxx"/>
        </w:rPr>
        <w:t>(alínea c) do Item 2.4 do Anexo V da IN nº 5/2017-SEGES/MPDG)</w:t>
      </w:r>
    </w:p>
    <w:p>
      <w:pPr>
        <w:pStyle w:val="Normal"/>
        <w:widowControl/>
        <w:tabs>
          <w:tab w:val="clear" w:pos="408"/>
          <w:tab w:val="left" w:pos="540" w:leader="none"/>
          <w:tab w:val="left" w:pos="1701" w:leader="none"/>
        </w:tabs>
        <w:suppressAutoHyphens w:val="false"/>
        <w:bidi w:val="0"/>
        <w:spacing w:lineRule="atLeast" w:line="200" w:before="0" w:after="0"/>
        <w:ind w:left="0" w:right="0" w:hanging="0"/>
        <w:jc w:val="center"/>
        <w:rPr>
          <w:rFonts w:ascii="Calibri Light" w:hAnsi="Calibri Light" w:eastAsia="Arial" w:cs="Arial"/>
          <w:b w:val="false"/>
          <w:bCs w:val="false"/>
          <w:color w:val="auto"/>
          <w:sz w:val="20"/>
          <w:szCs w:val="20"/>
          <w:lang w:val="pt-BR" w:eastAsia="zxx" w:bidi="zxx"/>
        </w:rPr>
      </w:pPr>
      <w:r>
        <w:rPr>
          <w:rFonts w:eastAsia="Arial" w:cs="Arial"/>
          <w:b w:val="false"/>
          <w:bCs w:val="false"/>
          <w:color w:val="auto"/>
          <w:sz w:val="20"/>
          <w:szCs w:val="20"/>
          <w:lang w:val="pt-BR" w:eastAsia="zxx" w:bidi="zxx"/>
        </w:rPr>
      </w:r>
    </w:p>
    <w:p>
      <w:pPr>
        <w:pStyle w:val="Normal"/>
        <w:widowControl/>
        <w:tabs>
          <w:tab w:val="clear" w:pos="408"/>
          <w:tab w:val="left" w:pos="540" w:leader="none"/>
          <w:tab w:val="left" w:pos="1701" w:leader="none"/>
        </w:tabs>
        <w:suppressAutoHyphens w:val="false"/>
        <w:bidi w:val="0"/>
        <w:spacing w:lineRule="atLeast" w:line="200" w:before="0" w:after="0"/>
        <w:ind w:left="0" w:right="0" w:hanging="0"/>
        <w:jc w:val="center"/>
        <w:rPr>
          <w:rFonts w:ascii="Calibri Light" w:hAnsi="Calibri Light" w:eastAsia="Arial" w:cs="Arial"/>
          <w:b w:val="false"/>
          <w:bCs w:val="false"/>
          <w:color w:val="auto"/>
          <w:sz w:val="20"/>
          <w:szCs w:val="20"/>
          <w:lang w:val="pt-BR" w:eastAsia="zxx" w:bidi="zxx"/>
        </w:rPr>
      </w:pPr>
      <w:r>
        <w:rPr>
          <w:rFonts w:eastAsia="Arial" w:cs="Arial"/>
          <w:b w:val="false"/>
          <w:bCs w:val="false"/>
          <w:color w:val="auto"/>
          <w:sz w:val="20"/>
          <w:szCs w:val="20"/>
          <w:lang w:val="pt-BR" w:eastAsia="zxx" w:bidi="zxx"/>
        </w:rPr>
      </w:r>
    </w:p>
    <w:p>
      <w:pPr>
        <w:pStyle w:val="Normal"/>
        <w:keepNext w:val="true"/>
        <w:tabs>
          <w:tab w:val="clear" w:pos="408"/>
          <w:tab w:val="left" w:pos="540" w:leader="none"/>
          <w:tab w:val="left" w:pos="1701" w:leader="none"/>
        </w:tabs>
        <w:spacing w:lineRule="auto" w:line="240" w:before="0" w:after="113"/>
        <w:jc w:val="center"/>
        <w:rPr>
          <w:rFonts w:ascii="Calibri Light" w:hAnsi="Calibri Light" w:eastAsia="Arial" w:cs="Arial"/>
          <w:color w:val="FF0000"/>
          <w:sz w:val="24"/>
          <w:szCs w:val="24"/>
          <w:lang w:val="pt-BR" w:eastAsia="zxx" w:bidi="zxx"/>
        </w:rPr>
      </w:pPr>
      <w:r>
        <w:rPr>
          <w:rFonts w:eastAsia="Arial" w:cs="Arial"/>
          <w:color w:val="FF0000"/>
          <w:sz w:val="24"/>
          <w:szCs w:val="24"/>
          <w:lang w:val="pt-BR" w:eastAsia="zxx" w:bidi="zxx"/>
        </w:rPr>
        <w:t>EM PAPEL TIMBRADO</w:t>
      </w:r>
    </w:p>
    <w:p>
      <w:pPr>
        <w:pStyle w:val="Normal"/>
        <w:keepNext w:val="true"/>
        <w:tabs>
          <w:tab w:val="clear" w:pos="408"/>
          <w:tab w:val="left" w:pos="540" w:leader="none"/>
          <w:tab w:val="left" w:pos="1701" w:leader="none"/>
        </w:tabs>
        <w:spacing w:lineRule="auto" w:line="240"/>
        <w:jc w:val="center"/>
        <w:rPr>
          <w:rFonts w:ascii="Calibri Light" w:hAnsi="Calibri Light" w:cs="Arial"/>
          <w:b/>
          <w:bCs/>
          <w:sz w:val="24"/>
          <w:szCs w:val="24"/>
          <w:lang w:val="pt-BR" w:eastAsia="zxx" w:bidi="zxx"/>
        </w:rPr>
      </w:pPr>
      <w:r>
        <w:rPr>
          <w:rFonts w:cs="Arial"/>
          <w:b/>
          <w:bCs/>
          <w:sz w:val="24"/>
          <w:szCs w:val="24"/>
          <w:lang w:val="pt-BR" w:eastAsia="zxx" w:bidi="zxx"/>
        </w:rPr>
        <w:t>DECLARAÇÃO DE PLENO CONHECIMENTO</w:t>
      </w:r>
    </w:p>
    <w:p>
      <w:pPr>
        <w:pStyle w:val="Normal"/>
        <w:keepNext w:val="true"/>
        <w:tabs>
          <w:tab w:val="clear" w:pos="408"/>
          <w:tab w:val="left" w:pos="540" w:leader="none"/>
          <w:tab w:val="left" w:pos="1701" w:leader="none"/>
        </w:tabs>
        <w:spacing w:lineRule="atLeast" w:line="200"/>
        <w:jc w:val="center"/>
        <w:rPr>
          <w:rFonts w:ascii="Calibri Light" w:hAnsi="Calibri Light" w:cs="Arial"/>
          <w:color w:val="auto"/>
          <w:sz w:val="24"/>
          <w:szCs w:val="24"/>
          <w:lang w:val="pt-BR" w:eastAsia="zxx" w:bidi="zxx"/>
        </w:rPr>
      </w:pPr>
      <w:r>
        <w:rPr>
          <w:rFonts w:cs="Arial"/>
          <w:color w:val="auto"/>
          <w:sz w:val="24"/>
          <w:szCs w:val="24"/>
          <w:lang w:val="pt-BR" w:eastAsia="zxx" w:bidi="zxx"/>
        </w:rPr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pacing w:lineRule="auto" w:line="240"/>
        <w:jc w:val="both"/>
        <w:rPr>
          <w:rFonts w:ascii="Calibri Light" w:hAnsi="Calibri Light"/>
          <w:b/>
          <w:bCs/>
          <w:sz w:val="24"/>
          <w:szCs w:val="24"/>
          <w:lang w:val="pt-BR"/>
        </w:rPr>
      </w:pPr>
      <w:r>
        <w:rPr>
          <w:rFonts w:cs="Arial"/>
          <w:b/>
          <w:bCs/>
          <w:color w:val="000000"/>
          <w:sz w:val="24"/>
          <w:szCs w:val="24"/>
          <w:lang w:val="pt-BR" w:eastAsia="zxx" w:bidi="zxx"/>
        </w:rPr>
        <w:t>Ao Cmdo CMA</w:t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/>
          <w:b/>
          <w:bCs/>
          <w:color w:val="auto"/>
          <w:sz w:val="24"/>
          <w:szCs w:val="24"/>
          <w:lang w:val="pt-BR"/>
        </w:rPr>
      </w:pP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  <w:t>PREGÃ</w:t>
      </w:r>
      <w:r>
        <w:rPr>
          <w:rFonts w:cs="Arial"/>
          <w:b/>
          <w:bCs/>
          <w:color w:val="000000"/>
          <w:sz w:val="24"/>
          <w:szCs w:val="24"/>
          <w:shd w:fill="auto" w:val="clear"/>
          <w:lang w:val="pt-BR" w:eastAsia="zxx" w:bidi="zxx"/>
        </w:rPr>
        <w:t xml:space="preserve">O 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Nº xx/20xx</w:t>
      </w:r>
      <w:r>
        <w:rPr>
          <w:rFonts w:cs="Arial"/>
          <w:b/>
          <w:bCs/>
          <w:color w:val="000000"/>
          <w:sz w:val="24"/>
          <w:szCs w:val="24"/>
          <w:shd w:fill="auto" w:val="clear"/>
          <w:lang w:val="pt-BR" w:eastAsia="zxx" w:bidi="zxx"/>
        </w:rPr>
        <w:t>-Cmdo CMA/4º CTA</w:t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 w:cs="Arial"/>
          <w:b/>
          <w:bCs/>
          <w:color w:val="auto"/>
          <w:sz w:val="24"/>
          <w:szCs w:val="24"/>
          <w:lang w:val="pt-BR" w:eastAsia="zxx" w:bidi="zxx"/>
        </w:rPr>
      </w:pP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uppressAutoHyphens w:val="false"/>
        <w:spacing w:lineRule="auto" w:line="240" w:before="0" w:after="113"/>
        <w:ind w:left="0" w:right="0" w:hanging="0"/>
        <w:jc w:val="both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Razão Social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uppressAutoHyphens w:val="false"/>
        <w:spacing w:lineRule="auto" w:line="240" w:before="0" w:after="113"/>
        <w:ind w:left="0" w:right="0" w:hanging="0"/>
        <w:jc w:val="both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CNPJ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408"/>
          <w:tab w:val="left" w:pos="540" w:leader="none"/>
          <w:tab w:val="left" w:pos="1701" w:leader="none"/>
        </w:tabs>
        <w:suppressAutoHyphens w:val="false"/>
        <w:spacing w:lineRule="auto" w:line="240" w:before="0" w:after="113"/>
        <w:ind w:left="0" w:right="0" w:hanging="0"/>
        <w:jc w:val="both"/>
        <w:rPr>
          <w:rFonts w:ascii="Calibri Light" w:hAnsi="Calibri Light" w:cs="Arial"/>
          <w:b w:val="false"/>
          <w:bCs w:val="false"/>
          <w:color w:val="auto"/>
          <w:sz w:val="24"/>
          <w:szCs w:val="24"/>
          <w:lang w:val="pt-BR" w:eastAsia="zxx" w:bidi="zxx"/>
        </w:rPr>
      </w:pPr>
      <w:r>
        <w:rPr>
          <w:rFonts w:cs="Arial"/>
          <w:b w:val="false"/>
          <w:bCs w:val="false"/>
          <w:color w:val="auto"/>
          <w:sz w:val="24"/>
          <w:szCs w:val="24"/>
          <w:lang w:val="pt-BR" w:eastAsia="zxx" w:bidi="zxx"/>
        </w:rPr>
      </w:r>
    </w:p>
    <w:p>
      <w:pPr>
        <w:pStyle w:val="Normal"/>
        <w:tabs>
          <w:tab w:val="clear" w:pos="408"/>
          <w:tab w:val="left" w:pos="720" w:leader="none"/>
        </w:tabs>
        <w:spacing w:lineRule="auto" w:line="240" w:before="0" w:after="0"/>
        <w:ind w:left="0" w:right="0" w:hanging="0"/>
        <w:jc w:val="both"/>
        <w:rPr>
          <w:rFonts w:ascii="Calibri Light" w:hAnsi="Calibri Light"/>
          <w:color w:val="auto"/>
          <w:sz w:val="24"/>
          <w:szCs w:val="24"/>
          <w:lang w:val="pt-BR"/>
        </w:rPr>
      </w:pPr>
      <w:r>
        <w:rPr>
          <w:rFonts w:cs="Arial"/>
          <w:color w:val="auto"/>
          <w:sz w:val="24"/>
          <w:szCs w:val="24"/>
          <w:lang w:val="pt-BR" w:eastAsia="zxx" w:bidi="zxx"/>
        </w:rPr>
        <w:t xml:space="preserve">A empresa acima qualificada, por meio de seu representante legal, em cumprimento ao Edital da Licitação indicada, DECLARA que tem </w:t>
      </w: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  <w:t>PLENO</w:t>
      </w:r>
      <w:r>
        <w:rPr>
          <w:rFonts w:cs="Arial"/>
          <w:color w:val="auto"/>
          <w:sz w:val="24"/>
          <w:szCs w:val="24"/>
          <w:lang w:val="pt-BR" w:eastAsia="zxx" w:bidi="zxx"/>
        </w:rPr>
        <w:t xml:space="preserve"> conhecimento das condições e peculiaridades inerentes à natureza dos serviços, está em </w:t>
      </w: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  <w:t>PLENO</w:t>
      </w:r>
      <w:r>
        <w:rPr>
          <w:rFonts w:cs="Arial"/>
          <w:color w:val="auto"/>
          <w:sz w:val="24"/>
          <w:szCs w:val="24"/>
          <w:lang w:val="pt-BR" w:eastAsia="zxx" w:bidi="zxx"/>
        </w:rPr>
        <w:t xml:space="preserve"> acordo com todas as condições estabelecidas no Edital e seus anexos, por ter avaliado previamente as dificuldades envolvidas e os esforços e investimentos necessários, assumindo total responsabilidade por este fato, e que </w:t>
      </w: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  <w:t>não utilizará</w:t>
      </w:r>
      <w:r>
        <w:rPr>
          <w:rFonts w:cs="Arial"/>
          <w:color w:val="auto"/>
          <w:sz w:val="24"/>
          <w:szCs w:val="24"/>
          <w:lang w:val="pt-BR" w:eastAsia="zxx" w:bidi="zxx"/>
        </w:rPr>
        <w:t xml:space="preserve"> deste para quaisquer questionamentos futuros que ensejem desavenças técnicas ou financeiras com a contratante.</w:t>
      </w:r>
    </w:p>
    <w:p>
      <w:pPr>
        <w:pStyle w:val="Normal"/>
        <w:tabs>
          <w:tab w:val="clear" w:pos="408"/>
          <w:tab w:val="left" w:pos="720" w:leader="none"/>
        </w:tabs>
        <w:spacing w:lineRule="auto" w:line="240" w:before="0" w:after="0"/>
        <w:ind w:left="0" w:right="0" w:hanging="0"/>
        <w:jc w:val="both"/>
        <w:rPr>
          <w:rFonts w:ascii="Calibri Light" w:hAnsi="Calibri Light" w:cs="Arial"/>
          <w:color w:val="auto"/>
          <w:sz w:val="24"/>
          <w:szCs w:val="24"/>
          <w:lang w:val="pt-BR" w:eastAsia="zxx" w:bidi="zxx"/>
        </w:rPr>
      </w:pPr>
      <w:r>
        <w:rPr>
          <w:rFonts w:cs="Arial"/>
          <w:color w:val="auto"/>
          <w:sz w:val="24"/>
          <w:szCs w:val="24"/>
          <w:lang w:val="pt-BR" w:eastAsia="zxx" w:bidi="zxx"/>
        </w:rPr>
      </w:r>
    </w:p>
    <w:p>
      <w:pPr>
        <w:pStyle w:val="Normal"/>
        <w:tabs>
          <w:tab w:val="clear" w:pos="408"/>
          <w:tab w:val="left" w:pos="720" w:leader="none"/>
        </w:tabs>
        <w:spacing w:lineRule="auto" w:line="240" w:before="0" w:after="0"/>
        <w:ind w:left="0" w:right="0" w:hanging="0"/>
        <w:jc w:val="both"/>
        <w:rPr>
          <w:rFonts w:ascii="Calibri Light" w:hAnsi="Calibri Light" w:cs="Arial"/>
          <w:color w:val="auto"/>
          <w:sz w:val="24"/>
          <w:szCs w:val="24"/>
          <w:lang w:val="pt-BR" w:eastAsia="zxx" w:bidi="zxx"/>
        </w:rPr>
      </w:pPr>
      <w:r>
        <w:rPr>
          <w:rFonts w:cs="Arial"/>
          <w:color w:val="auto"/>
          <w:sz w:val="24"/>
          <w:szCs w:val="24"/>
          <w:lang w:val="pt-BR" w:eastAsia="zxx" w:bidi="zxx"/>
        </w:rPr>
      </w:r>
    </w:p>
    <w:p>
      <w:pPr>
        <w:pStyle w:val="Normal"/>
        <w:tabs>
          <w:tab w:val="clear" w:pos="408"/>
          <w:tab w:val="left" w:pos="720" w:leader="none"/>
        </w:tabs>
        <w:spacing w:lineRule="auto" w:line="240" w:before="0" w:after="0"/>
        <w:ind w:left="0" w:right="0" w:hanging="0"/>
        <w:jc w:val="both"/>
        <w:rPr>
          <w:rFonts w:ascii="Calibri Light" w:hAnsi="Calibri Light" w:cs="Arial"/>
          <w:color w:val="auto"/>
          <w:sz w:val="24"/>
          <w:szCs w:val="24"/>
          <w:lang w:val="pt-BR" w:eastAsia="zxx" w:bidi="zxx"/>
        </w:rPr>
      </w:pPr>
      <w:r>
        <w:rPr>
          <w:rFonts w:cs="Arial"/>
          <w:color w:val="auto"/>
          <w:sz w:val="24"/>
          <w:szCs w:val="24"/>
          <w:lang w:val="pt-BR" w:eastAsia="zxx" w:bidi="zxx"/>
        </w:rPr>
      </w:r>
    </w:p>
    <w:p>
      <w:pPr>
        <w:pStyle w:val="Normal"/>
        <w:tabs>
          <w:tab w:val="clear" w:pos="408"/>
          <w:tab w:val="left" w:pos="720" w:leader="none"/>
        </w:tabs>
        <w:spacing w:lineRule="auto" w:line="240" w:before="0" w:after="0"/>
        <w:ind w:left="0" w:right="0" w:hanging="0"/>
        <w:jc w:val="both"/>
        <w:rPr>
          <w:rFonts w:ascii="Calibri Light" w:hAnsi="Calibri Light"/>
          <w:sz w:val="24"/>
          <w:szCs w:val="24"/>
          <w:lang w:val="pt-BR"/>
        </w:rPr>
      </w:pPr>
      <w:r>
        <w:rPr>
          <w:sz w:val="24"/>
          <w:szCs w:val="24"/>
          <w:lang w:val="pt-BR"/>
        </w:rPr>
      </w:r>
    </w:p>
    <w:p>
      <w:pPr>
        <w:pStyle w:val="Normal"/>
        <w:suppressAutoHyphens w:val="false"/>
        <w:spacing w:lineRule="auto" w:line="240" w:before="0" w:after="0"/>
        <w:ind w:left="0" w:right="0" w:hanging="0"/>
        <w:jc w:val="center"/>
        <w:rPr>
          <w:rFonts w:ascii="Calibri Light" w:hAnsi="Calibri Light" w:cs="Arial"/>
          <w:color w:val="FF3333"/>
          <w:sz w:val="24"/>
          <w:szCs w:val="24"/>
          <w:lang w:val="pt-BR"/>
        </w:rPr>
      </w:pPr>
      <w:r>
        <w:rPr>
          <w:rFonts w:cs="Arial"/>
          <w:color w:val="FF3333"/>
          <w:sz w:val="24"/>
          <w:szCs w:val="24"/>
          <w:lang w:val="pt-BR"/>
        </w:rPr>
        <w:t>Local e data</w:t>
      </w:r>
    </w:p>
    <w:p>
      <w:pPr>
        <w:pStyle w:val="Normal"/>
        <w:suppressAutoHyphens w:val="false"/>
        <w:spacing w:lineRule="auto" w:line="240" w:before="0" w:after="0"/>
        <w:ind w:left="0" w:right="0" w:hanging="0"/>
        <w:jc w:val="center"/>
        <w:rPr>
          <w:rFonts w:ascii="Calibri Light" w:hAnsi="Calibri Light" w:cs="Arial"/>
          <w:color w:val="FF0000"/>
          <w:sz w:val="24"/>
          <w:szCs w:val="24"/>
          <w:lang w:val="pt-BR"/>
        </w:rPr>
      </w:pPr>
      <w:r>
        <w:rPr>
          <w:rFonts w:cs="Arial"/>
          <w:color w:val="FF0000"/>
          <w:sz w:val="24"/>
          <w:szCs w:val="24"/>
          <w:lang w:val="pt-BR"/>
        </w:rPr>
      </w:r>
    </w:p>
    <w:p>
      <w:pPr>
        <w:pStyle w:val="Normal"/>
        <w:suppressAutoHyphens w:val="false"/>
        <w:spacing w:lineRule="auto" w:line="240" w:before="0" w:after="0"/>
        <w:ind w:left="0" w:right="0" w:hanging="0"/>
        <w:jc w:val="center"/>
        <w:rPr>
          <w:rFonts w:ascii="Calibri Light" w:hAnsi="Calibri Light" w:cs="Arial"/>
          <w:color w:val="FF0000"/>
          <w:sz w:val="24"/>
          <w:szCs w:val="24"/>
          <w:lang w:val="pt-BR"/>
        </w:rPr>
      </w:pPr>
      <w:r>
        <w:rPr>
          <w:rFonts w:cs="Arial"/>
          <w:color w:val="FF0000"/>
          <w:sz w:val="24"/>
          <w:szCs w:val="24"/>
          <w:lang w:val="pt-BR"/>
        </w:rPr>
      </w:r>
    </w:p>
    <w:p>
      <w:pPr>
        <w:pStyle w:val="Normal"/>
        <w:suppressAutoHyphens w:val="false"/>
        <w:spacing w:lineRule="auto" w:line="240" w:before="0" w:after="0"/>
        <w:ind w:left="0" w:right="0" w:hanging="0"/>
        <w:jc w:val="center"/>
        <w:rPr>
          <w:rFonts w:ascii="Calibri Light" w:hAnsi="Calibri Light" w:cs="Arial"/>
          <w:color w:val="FF3333"/>
          <w:sz w:val="24"/>
          <w:szCs w:val="24"/>
          <w:lang w:val="pt-BR"/>
        </w:rPr>
      </w:pPr>
      <w:r>
        <w:rPr>
          <w:rFonts w:cs="Arial"/>
          <w:color w:val="FF3333"/>
          <w:sz w:val="24"/>
          <w:szCs w:val="24"/>
          <w:lang w:val="pt-BR"/>
        </w:rPr>
        <w:t>Representante Legal</w:t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center"/>
        <w:rPr>
          <w:rFonts w:ascii="Times New Roman" w:hAnsi="Times New Roman" w:cs="Arial"/>
          <w:b w:val="false"/>
          <w:bCs w:val="false"/>
          <w:color w:val="FF3333"/>
          <w:sz w:val="24"/>
          <w:szCs w:val="24"/>
          <w:lang w:val="pt-BR" w:eastAsia="pt-BR" w:bidi="pt-BR"/>
        </w:rPr>
      </w:pPr>
      <w:r>
        <w:rPr>
          <w:rStyle w:val="Fontepargpadro"/>
          <w:rFonts w:eastAsia="Arial" w:cs="Arial"/>
          <w:b w:val="false"/>
          <w:bCs w:val="false"/>
          <w:color w:val="FF3333"/>
          <w:sz w:val="24"/>
          <w:szCs w:val="24"/>
          <w:shd w:fill="auto" w:val="clear"/>
          <w:lang w:val="pt-BR" w:eastAsia="pt-BR" w:bidi="pt-BR"/>
        </w:rPr>
        <w:t>Idt / CPF</w:t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center"/>
        <w:rPr>
          <w:rStyle w:val="Fontepargpadro"/>
          <w:rFonts w:ascii="Calibri Light" w:hAnsi="Calibri Light" w:eastAsia="Arial"/>
          <w:color w:val="FF3333"/>
          <w:shd w:fill="auto" w:val="clear"/>
        </w:rPr>
      </w:pPr>
      <w:r>
        <w:rPr>
          <w:rFonts w:eastAsia="Arial"/>
          <w:color w:val="FF3333"/>
          <w:shd w:fill="auto" w:val="clear"/>
        </w:rPr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center"/>
        <w:rPr>
          <w:rStyle w:val="Fontepargpadro"/>
          <w:rFonts w:ascii="Calibri Light" w:hAnsi="Calibri Light" w:eastAsia="Arial"/>
          <w:color w:val="FF3333"/>
          <w:shd w:fill="auto" w:val="clear"/>
        </w:rPr>
      </w:pPr>
      <w:r>
        <w:rPr>
          <w:rFonts w:eastAsia="Arial"/>
          <w:color w:val="FF3333"/>
          <w:shd w:fill="auto" w:val="clear"/>
        </w:rPr>
      </w:r>
    </w:p>
    <w:p>
      <w:pPr>
        <w:pStyle w:val="Normal"/>
        <w:tabs>
          <w:tab w:val="clear" w:pos="408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Times New Roman" w:hAnsi="Times New Roman" w:cs="Arial"/>
          <w:b w:val="false"/>
          <w:bCs w:val="false"/>
          <w:color w:val="FF0000"/>
          <w:sz w:val="24"/>
          <w:szCs w:val="24"/>
          <w:lang w:val="pt-BR" w:eastAsia="pt-BR" w:bidi="pt-BR"/>
        </w:rPr>
      </w:pPr>
      <w:r>
        <w:rPr>
          <w:rStyle w:val="Fontepargpadro"/>
          <w:rFonts w:eastAsia="Arial" w:cs="Arial"/>
          <w:b/>
          <w:bCs/>
          <w:color w:val="FF0000"/>
          <w:sz w:val="20"/>
          <w:szCs w:val="20"/>
          <w:shd w:fill="auto" w:val="clear"/>
          <w:lang w:val="pt-BR" w:eastAsia="pt-BR" w:bidi="pt-BR"/>
        </w:rPr>
        <w:t>O</w:t>
      </w:r>
      <w:r>
        <w:rPr>
          <w:rStyle w:val="Fontepargpadro"/>
          <w:rFonts w:eastAsia="Arial" w:cs="Arial"/>
          <w:b/>
          <w:bCs/>
          <w:strike w:val="false"/>
          <w:dstrike w:val="false"/>
          <w:color w:val="FF0000"/>
          <w:sz w:val="20"/>
          <w:szCs w:val="20"/>
          <w:shd w:fill="auto" w:val="clear"/>
          <w:lang w:val="pt-BR" w:eastAsia="pt-BR" w:bidi="pt-BR"/>
        </w:rPr>
        <w:t>BSERVAÇÃO</w:t>
      </w:r>
      <w:r>
        <w:rPr>
          <w:rStyle w:val="Fontepargpadro"/>
          <w:rFonts w:eastAsia="Arial" w:cs="Arial"/>
          <w:b w:val="false"/>
          <w:bCs w:val="false"/>
          <w:strike w:val="false"/>
          <w:dstrike w:val="false"/>
          <w:color w:val="FF0000"/>
          <w:sz w:val="20"/>
          <w:szCs w:val="20"/>
          <w:shd w:fill="auto" w:val="clear"/>
          <w:lang w:val="pt-BR" w:eastAsia="pt-BR" w:bidi="pt-BR"/>
        </w:rPr>
        <w:t>:</w:t>
      </w:r>
    </w:p>
    <w:p>
      <w:pPr>
        <w:pStyle w:val="Normal"/>
        <w:widowControl/>
        <w:tabs>
          <w:tab w:val="clear" w:pos="408"/>
          <w:tab w:val="left" w:pos="720" w:leader="none"/>
        </w:tabs>
        <w:suppressAutoHyphens w:val="fals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 w:eastAsia="Arial" w:cs="Arial"/>
          <w:b w:val="false"/>
          <w:bCs w:val="false"/>
          <w:color w:val="FF0000"/>
          <w:sz w:val="24"/>
          <w:szCs w:val="24"/>
          <w:lang w:val="pt-BR" w:eastAsia="pt-BR" w:bidi="pt-BR"/>
        </w:rPr>
      </w:pPr>
      <w:r>
        <w:rPr>
          <w:rStyle w:val="Fontepargpadro"/>
          <w:rFonts w:eastAsia="Arial" w:cs="Arial"/>
          <w:b w:val="false"/>
          <w:bCs w:val="false"/>
          <w:strike w:val="false"/>
          <w:dstrike w:val="false"/>
          <w:color w:val="FF0000"/>
          <w:sz w:val="20"/>
          <w:szCs w:val="20"/>
          <w:shd w:fill="auto" w:val="clear"/>
          <w:lang w:val="pt-BR" w:eastAsia="pt-BR" w:bidi="pt-BR"/>
        </w:rPr>
        <w:t xml:space="preserve">- a Licitante deverá apresentar </w:t>
      </w:r>
      <w:r>
        <w:rPr>
          <w:rStyle w:val="Fontepargpadro"/>
          <w:rFonts w:eastAsia="Arial" w:cs="Arial"/>
          <w:b w:val="false"/>
          <w:bCs w:val="false"/>
          <w:color w:val="FF0000"/>
          <w:sz w:val="20"/>
          <w:szCs w:val="20"/>
          <w:shd w:fill="auto" w:val="clear"/>
          <w:lang w:val="pt-BR" w:eastAsia="pt-BR" w:bidi="pt-BR"/>
        </w:rPr>
        <w:t>esta declaração junto à Proposta Final de Preços.</w:t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nextPage"/>
      <w:pgSz w:w="11906" w:h="16838"/>
      <w:pgMar w:left="1134" w:right="1134" w:gutter="0" w:header="567" w:top="1313" w:footer="850" w:bottom="1353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 Light">
    <w:charset w:val="00"/>
    <w:family w:val="roman"/>
    <w:pitch w:val="variable"/>
  </w:font>
  <w:font w:name="Cambria">
    <w:charset w:val="00"/>
    <w:family w:val="roman"/>
    <w:pitch w:val="variable"/>
  </w:font>
  <w:font w:name="Cambria">
    <w:charset w:val="00"/>
    <w:family w:val="swiss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 Unicode MS">
    <w:charset w:val="00"/>
    <w:family w:val="roman"/>
    <w:pitch w:val="variable"/>
  </w:font>
  <w:font w:name="Ecofont_Spranq_eco_Sans">
    <w:charset w:val="00"/>
    <w:family w:val="roman"/>
    <w:pitch w:val="variable"/>
  </w:font>
  <w:font w:name="Calibri Light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rFonts w:ascii="Calibri Light" w:hAnsi="Calibri Light" w:cs="Arial"/>
        <w:color w:val="auto"/>
        <w:sz w:val="18"/>
        <w:szCs w:val="18"/>
        <w:shd w:fill="auto" w:val="clear"/>
      </w:rPr>
    </w:pPr>
    <w:r>
      <w:rPr>
        <w:rFonts w:cs="Arial" w:ascii="Calibri Light" w:hAnsi="Calibri Light"/>
        <w:color w:val="000000"/>
        <w:sz w:val="18"/>
        <w:szCs w:val="18"/>
        <w:shd w:fill="auto" w:val="clear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rFonts w:ascii="Calibri Light" w:hAnsi="Calibri Light" w:cs="Arial"/>
        <w:color w:val="auto"/>
        <w:sz w:val="18"/>
        <w:szCs w:val="18"/>
        <w:shd w:fill="auto" w:val="clear"/>
      </w:rPr>
    </w:pPr>
    <w:r>
      <w:rPr>
        <w:rFonts w:cs="Arial" w:ascii="Calibri Light" w:hAnsi="Calibri Light"/>
        <w:color w:val="000000"/>
        <w:sz w:val="18"/>
        <w:szCs w:val="18"/>
        <w:shd w:fill="auto" w:val="clear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spacing w:before="170" w:after="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spacing w:before="170" w:after="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408"/>
  <w:autoHyphenation w:val="true"/>
  <w:evenAndOddHeaders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roid Sans Fallback" w:cs="FreeSans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tLeast" w:line="353" w:before="170" w:after="0"/>
      <w:jc w:val="both"/>
    </w:pPr>
    <w:rPr>
      <w:rFonts w:ascii="Calibri Light" w:hAnsi="Calibri Light" w:eastAsia="Droid Sans Fallback" w:cs="FreeSans"/>
      <w:b w:val="false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Normal"/>
    <w:next w:val="Normal"/>
    <w:qFormat/>
    <w:pPr>
      <w:keepNext w:val="true"/>
      <w:keepLines/>
      <w:numPr>
        <w:ilvl w:val="0"/>
        <w:numId w:val="0"/>
      </w:numPr>
      <w:spacing w:before="240" w:after="0"/>
      <w:outlineLvl w:val="0"/>
    </w:pPr>
    <w:rPr>
      <w:rFonts w:ascii="Cambria" w:hAnsi="Cambria" w:eastAsia="ＭＳ ゴシック" w:cs="Times New Roman"/>
      <w:color w:val="365F91"/>
      <w:sz w:val="32"/>
      <w:szCs w:val="32"/>
    </w:rPr>
  </w:style>
  <w:style w:type="paragraph" w:styleId="Ttulo5">
    <w:name w:val="Heading 5"/>
    <w:basedOn w:val="LO-Normal3"/>
    <w:next w:val="LO-Normal3"/>
    <w:qFormat/>
    <w:pPr>
      <w:keepNext w:val="true"/>
      <w:keepLines/>
      <w:widowControl/>
      <w:numPr>
        <w:ilvl w:val="4"/>
        <w:numId w:val="1"/>
      </w:numPr>
      <w:suppressAutoHyphens w:val="true"/>
      <w:spacing w:lineRule="auto" w:line="276" w:before="200" w:after="200"/>
      <w:outlineLvl w:val="4"/>
    </w:pPr>
    <w:rPr>
      <w:rFonts w:ascii="Cambria" w:hAnsi="Cambria" w:eastAsia="Times New Roman" w:cs="Times New Roman"/>
      <w:color w:val="243F60"/>
      <w:kern w:val="0"/>
      <w:sz w:val="22"/>
      <w:szCs w:val="22"/>
      <w:lang w:eastAsia="en-US" w:bidi="ar-SA"/>
    </w:rPr>
  </w:style>
  <w:style w:type="character" w:styleId="AUTONUMERACAO">
    <w:name w:val="AUTO NUMERACAO"/>
    <w:qFormat/>
    <w:rPr>
      <w:rFonts w:ascii="Calibri Light" w:hAnsi="Calibri Light"/>
      <w:b/>
      <w:color w:val="auto"/>
      <w:sz w:val="24"/>
    </w:rPr>
  </w:style>
  <w:style w:type="character" w:styleId="Fontepargpadro">
    <w:name w:val="Fonte parág. padrão"/>
    <w:qFormat/>
    <w:rPr/>
  </w:style>
  <w:style w:type="character" w:styleId="Fontepargpadro2">
    <w:name w:val="Fonte parág. padrão2"/>
    <w:qFormat/>
    <w:rPr/>
  </w:style>
  <w:style w:type="character" w:styleId="DefaultParagraphFont">
    <w:name w:val="Default Paragraph Font"/>
    <w:qFormat/>
    <w:rPr/>
  </w:style>
  <w:style w:type="character" w:styleId="LinkdaInternet">
    <w:name w:val="Hyperlink"/>
    <w:rPr>
      <w:color w:val="000080"/>
      <w:u w:val="single"/>
      <w:lang w:val="zxx" w:eastAsia="zxx" w:bidi="zxx"/>
    </w:rPr>
  </w:style>
  <w:style w:type="character" w:styleId="Smbolosdenumerao">
    <w:name w:val="Símbolos de numeração"/>
    <w:qFormat/>
    <w:rPr/>
  </w:style>
  <w:style w:type="character" w:styleId="Character20style">
    <w:name w:val="Character_20_style"/>
    <w:qFormat/>
    <w:rPr/>
  </w:style>
  <w:style w:type="character" w:styleId="Normalchar1">
    <w:name w:val="normal__char1"/>
    <w:qFormat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AutoNumeracao1">
    <w:name w:val="Auto Numeracao"/>
    <w:qFormat/>
    <w:rPr>
      <w:rFonts w:ascii="Times New Roman" w:hAnsi="Times New Roman" w:cs="Times New Roman"/>
      <w:b/>
      <w:bCs/>
      <w:i w:val="false"/>
      <w:strike w:val="false"/>
      <w:dstrike w:val="false"/>
      <w:color w:val="000000"/>
      <w:sz w:val="24"/>
      <w:szCs w:val="24"/>
      <w:shd w:fill="auto" w:val="clear"/>
    </w:rPr>
  </w:style>
  <w:style w:type="character" w:styleId="AutoNumeracao2">
    <w:name w:val="Auto_Numeracao"/>
    <w:qFormat/>
    <w:rPr>
      <w:rFonts w:ascii="Times New Roman" w:hAnsi="Times New Roman" w:cs="Times New Roman"/>
      <w:b/>
      <w:color w:val="000000"/>
      <w:sz w:val="24"/>
      <w:szCs w:val="24"/>
      <w:shd w:fill="auto" w:val="clear"/>
    </w:rPr>
  </w:style>
  <w:style w:type="character" w:styleId="Apple-converted-space">
    <w:name w:val="apple-converted-space"/>
    <w:basedOn w:val="DefaultParagraphFont"/>
    <w:qFormat/>
    <w:rPr/>
  </w:style>
  <w:style w:type="character" w:styleId="Caracteresdenotaderodap">
    <w:name w:val="Caracteres de nota de rodapé"/>
    <w:qFormat/>
    <w:rPr/>
  </w:style>
  <w:style w:type="character" w:styleId="Ncoradanotaderodap">
    <w:name w:val="Footnote Reference"/>
    <w:rPr>
      <w:vertAlign w:val="superscript"/>
    </w:rPr>
  </w:style>
  <w:style w:type="character" w:styleId="IntenseReference">
    <w:name w:val="Intense Reference"/>
    <w:basedOn w:val="DefaultParagraphFont"/>
    <w:qFormat/>
    <w:rPr>
      <w:b/>
      <w:bCs/>
      <w:smallCaps/>
      <w:color w:val="5B9BD5"/>
      <w:spacing w:val="5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Times New Roman" w:hAnsi="Times New Roman" w:eastAsia="Droid Sans Fallback" w:cs="FreeSans"/>
      <w:sz w:val="24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FreeSans"/>
      <w:sz w:val="20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0"/>
      <w:szCs w:val="24"/>
    </w:rPr>
  </w:style>
  <w:style w:type="paragraph" w:styleId="Ndice">
    <w:name w:val="Índice"/>
    <w:basedOn w:val="Normal"/>
    <w:qFormat/>
    <w:pPr>
      <w:suppressLineNumbers/>
    </w:pPr>
    <w:rPr>
      <w:rFonts w:cs="FreeSans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408"/>
        <w:tab w:val="center" w:pos="4252" w:leader="none"/>
        <w:tab w:val="right" w:pos="8504" w:leader="none"/>
      </w:tabs>
    </w:pPr>
    <w:rPr/>
  </w:style>
  <w:style w:type="paragraph" w:styleId="Rodap">
    <w:name w:val="Footer"/>
    <w:pPr>
      <w:widowControl/>
      <w:tabs>
        <w:tab w:val="clear" w:pos="408"/>
        <w:tab w:val="center" w:pos="4252" w:leader="none"/>
        <w:tab w:val="right" w:pos="8504" w:leader="none"/>
      </w:tabs>
      <w:suppressAutoHyphens w:val="true"/>
      <w:overflowPunct w:val="false"/>
      <w:bidi w:val="0"/>
      <w:spacing w:before="0" w:after="0"/>
      <w:ind w:left="0" w:right="0" w:hanging="0"/>
      <w:jc w:val="left"/>
    </w:pPr>
    <w:rPr>
      <w:rFonts w:ascii="Times New Roman" w:hAnsi="Times New Roman" w:eastAsia="Droid Sans Fallback" w:cs="FreeSans"/>
      <w:color w:val="auto"/>
      <w:kern w:val="2"/>
      <w:sz w:val="24"/>
      <w:szCs w:val="24"/>
      <w:lang w:val="pt-BR" w:eastAsia="zh-CN" w:bidi="hi-IN"/>
    </w:rPr>
  </w:style>
  <w:style w:type="paragraph" w:styleId="Ttulododocumento">
    <w:name w:val="Title"/>
    <w:basedOn w:val="Ttulo"/>
    <w:qFormat/>
    <w:pPr/>
    <w:rPr/>
  </w:style>
  <w:style w:type="paragraph" w:styleId="Contedodatabela">
    <w:name w:val="Conteúdo da tabela"/>
    <w:basedOn w:val="Normal"/>
    <w:qFormat/>
    <w:pPr/>
    <w:rPr/>
  </w:style>
  <w:style w:type="paragraph" w:styleId="LO-Normal3">
    <w:name w:val="LO-Normal3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SimSun" w:cs="Tahoma"/>
      <w:color w:val="auto"/>
      <w:kern w:val="2"/>
      <w:sz w:val="24"/>
      <w:szCs w:val="24"/>
      <w:lang w:val="pt-BR" w:eastAsia="hi-IN" w:bidi="hi-IN"/>
    </w:rPr>
  </w:style>
  <w:style w:type="paragraph" w:styleId="WW-NormalWeb">
    <w:name w:val="WW-Normal (Web)"/>
    <w:basedOn w:val="Normal"/>
    <w:qFormat/>
    <w:pPr>
      <w:suppressAutoHyphens w:val="false"/>
      <w:spacing w:before="280" w:after="280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Corpodetexto31">
    <w:name w:val="Corpo de texto 31"/>
    <w:basedOn w:val="Normal"/>
    <w:qFormat/>
    <w:pPr>
      <w:jc w:val="both"/>
    </w:pPr>
    <w:rPr>
      <w:rFonts w:ascii="Arial" w:hAnsi="Arial"/>
      <w:color w:val="000000"/>
      <w:sz w:val="24"/>
      <w:szCs w:val="24"/>
    </w:rPr>
  </w:style>
  <w:style w:type="paragraph" w:styleId="Nivel1">
    <w:name w:val="Nivel1"/>
    <w:basedOn w:val="Ttulo1"/>
    <w:next w:val="Normal"/>
    <w:qFormat/>
    <w:pPr>
      <w:tabs>
        <w:tab w:val="clear" w:pos="408"/>
      </w:tabs>
      <w:spacing w:lineRule="auto" w:line="276" w:before="480" w:after="120"/>
      <w:ind w:left="0" w:right="0" w:hanging="0"/>
      <w:jc w:val="both"/>
      <w:outlineLvl w:val="9"/>
    </w:pPr>
    <w:rPr>
      <w:rFonts w:ascii="Calibri Light" w:hAnsi="Calibri Light" w:cs="Arial"/>
      <w:b/>
      <w:color w:val="000000"/>
      <w:sz w:val="24"/>
      <w:szCs w:val="20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Standard">
    <w:name w:val="Standard"/>
    <w:qFormat/>
    <w:pPr>
      <w:widowControl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t-BR" w:eastAsia="zh-CN" w:bidi="ar-SA"/>
    </w:rPr>
  </w:style>
  <w:style w:type="paragraph" w:styleId="Corpo">
    <w:name w:val="Corpo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000000"/>
      <w:kern w:val="2"/>
      <w:sz w:val="24"/>
      <w:szCs w:val="20"/>
      <w:lang w:val="pt-BR" w:eastAsia="zh-CN" w:bidi="hi-IN"/>
    </w:rPr>
  </w:style>
  <w:style w:type="paragraph" w:styleId="Ttulodendiceremissivo">
    <w:name w:val="Título de índice remissivo"/>
    <w:basedOn w:val="Normal"/>
    <w:next w:val="Remissivo1"/>
    <w:qFormat/>
    <w:pPr>
      <w:suppressAutoHyphens w:val="true"/>
    </w:pPr>
    <w:rPr/>
  </w:style>
  <w:style w:type="paragraph" w:styleId="Remissivo1">
    <w:name w:val="Remissivo 1"/>
    <w:basedOn w:val="LO-Normal3"/>
    <w:next w:val="LO-Normal3"/>
    <w:qFormat/>
    <w:pPr>
      <w:tabs>
        <w:tab w:val="clear" w:pos="408"/>
      </w:tabs>
      <w:suppressAutoHyphens w:val="true"/>
      <w:ind w:left="240" w:right="0" w:hanging="240"/>
    </w:pPr>
    <w:rPr>
      <w:rFonts w:cs="Mangal"/>
      <w:szCs w:val="21"/>
    </w:rPr>
  </w:style>
  <w:style w:type="paragraph" w:styleId="Texto">
    <w:name w:val="texto"/>
    <w:qFormat/>
    <w:pPr>
      <w:widowControl/>
      <w:tabs>
        <w:tab w:val="clear" w:pos="408"/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6372" w:leader="none"/>
        <w:tab w:val="left" w:pos="7080" w:leader="none"/>
        <w:tab w:val="left" w:pos="7788" w:leader="none"/>
        <w:tab w:val="left" w:pos="8496" w:leader="none"/>
        <w:tab w:val="left" w:pos="9204" w:leader="none"/>
        <w:tab w:val="left" w:pos="9912" w:leader="none"/>
        <w:tab w:val="left" w:pos="10620" w:leader="none"/>
        <w:tab w:val="left" w:pos="11328" w:leader="none"/>
        <w:tab w:val="left" w:pos="12036" w:leader="none"/>
        <w:tab w:val="left" w:pos="12744" w:leader="none"/>
        <w:tab w:val="left" w:pos="13452" w:leader="none"/>
        <w:tab w:val="left" w:pos="14160" w:leader="none"/>
        <w:tab w:val="left" w:pos="14868" w:leader="none"/>
        <w:tab w:val="left" w:pos="15576" w:leader="none"/>
        <w:tab w:val="left" w:pos="16284" w:leader="none"/>
        <w:tab w:val="left" w:pos="16992" w:leader="none"/>
        <w:tab w:val="left" w:pos="17700" w:leader="none"/>
        <w:tab w:val="left" w:pos="18408" w:leader="none"/>
        <w:tab w:val="left" w:pos="19116" w:leader="none"/>
        <w:tab w:val="left" w:pos="19824" w:leader="none"/>
        <w:tab w:val="left" w:pos="20532" w:leader="none"/>
        <w:tab w:val="left" w:pos="21240" w:leader="none"/>
        <w:tab w:val="left" w:pos="21948" w:leader="none"/>
        <w:tab w:val="left" w:pos="22656" w:leader="none"/>
        <w:tab w:val="left" w:pos="23364" w:leader="none"/>
        <w:tab w:val="left" w:pos="24072" w:leader="none"/>
        <w:tab w:val="left" w:pos="24780" w:leader="none"/>
        <w:tab w:val="left" w:pos="25488" w:leader="none"/>
        <w:tab w:val="left" w:pos="26196" w:leader="none"/>
        <w:tab w:val="left" w:pos="26904" w:leader="none"/>
        <w:tab w:val="left" w:pos="27612" w:leader="none"/>
        <w:tab w:val="left" w:pos="28320" w:leader="none"/>
      </w:tabs>
      <w:suppressAutoHyphens w:val="true"/>
      <w:overflowPunct w:val="false"/>
      <w:bidi w:val="0"/>
      <w:spacing w:lineRule="atLeast" w:line="240" w:before="0" w:after="0"/>
      <w:ind w:left="170" w:right="0" w:hanging="17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t-BR" w:eastAsia="zh-CN" w:bidi="hi-IN"/>
    </w:rPr>
  </w:style>
  <w:style w:type="paragraph" w:styleId="Paisagem">
    <w:name w:val="paisagem"/>
    <w:basedOn w:val="Normal"/>
    <w:qFormat/>
    <w:pPr>
      <w:spacing w:before="0" w:after="0"/>
      <w:ind w:left="0" w:right="0" w:hanging="0"/>
      <w:jc w:val="center"/>
    </w:pPr>
    <w:rPr>
      <w:rFonts w:ascii="Times New Roman" w:hAnsi="Times New Roman"/>
      <w:b/>
      <w:color w:val="00000A"/>
      <w:sz w:val="20"/>
      <w:u w:val="none"/>
    </w:rPr>
  </w:style>
  <w:style w:type="paragraph" w:styleId="Estilopaisagem">
    <w:name w:val="Estilo paisagem"/>
    <w:basedOn w:val="Paisagem"/>
    <w:qFormat/>
    <w:pPr/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Quote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GradeColorida-nfase11">
    <w:name w:val="Grade Colorida - Ênfase 1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PargrafodaLista1">
    <w:name w:val="Parágrafo da Lista1"/>
    <w:basedOn w:val="Normal"/>
    <w:qFormat/>
    <w:pPr>
      <w:ind w:left="720" w:right="0" w:hanging="0"/>
    </w:pPr>
    <w:rPr>
      <w:rFonts w:ascii="Ecofont_Spranq_eco_Sans" w:hAnsi="Ecofont_Spranq_eco_Sans"/>
      <w:sz w:val="24"/>
    </w:rPr>
  </w:style>
  <w:style w:type="paragraph" w:styleId="Citao1">
    <w:name w:val="Citação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ascii="Ecofont_Spranq_eco_Sans" w:hAnsi="Ecofont_Spranq_eco_Sans"/>
      <w:i/>
      <w:color w:val="000000"/>
      <w:sz w:val="24"/>
      <w:shd w:fill="FFFFCC" w:val="clear"/>
      <w:lang w:val="x-none" w:eastAsia="en-US"/>
    </w:rPr>
  </w:style>
  <w:style w:type="paragraph" w:styleId="Citao2">
    <w:name w:val="citação 2"/>
    <w:basedOn w:val="Quote"/>
    <w:qFormat/>
    <w:pPr/>
    <w:rPr>
      <w:szCs w:val="20"/>
    </w:rPr>
  </w:style>
  <w:style w:type="paragraph" w:styleId="TtulodaTabela">
    <w:name w:val="Título da Tabela"/>
    <w:basedOn w:val="Normal"/>
    <w:qFormat/>
    <w:pPr>
      <w:widowControl w:val="false"/>
      <w:suppressLineNumbers/>
      <w:suppressAutoHyphens w:val="true"/>
      <w:spacing w:before="0" w:after="120"/>
      <w:jc w:val="center"/>
    </w:pPr>
    <w:rPr>
      <w:rFonts w:ascii="Times New Roman" w:hAnsi="Times New Roman" w:eastAsia="Arial Unicode MS" w:cs="Times New Roman"/>
      <w:b/>
      <w:bCs/>
      <w:i/>
      <w:iCs/>
      <w:szCs w:val="20"/>
    </w:rPr>
  </w:style>
  <w:style w:type="paragraph" w:styleId="Cabealhoesquerda">
    <w:name w:val="Cabeçalho à esquerda"/>
    <w:basedOn w:val="Normal"/>
    <w:qFormat/>
    <w:pPr/>
    <w:rPr/>
  </w:style>
  <w:style w:type="paragraph" w:styleId="Contedodoquadro">
    <w:name w:val="Conteúdo do quadro"/>
    <w:basedOn w:val="Normal"/>
    <w:qFormat/>
    <w:pPr/>
    <w:rPr/>
  </w:style>
  <w:style w:type="paragraph" w:styleId="Linhahorizontal">
    <w:name w:val="Linha horizontal"/>
    <w:basedOn w:val="Normal"/>
    <w:qFormat/>
    <w:pPr/>
    <w:rPr/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Droid Sans Fallback" w:cs="FreeSans"/>
      <w:color w:val="000000"/>
      <w:kern w:val="2"/>
      <w:sz w:val="24"/>
      <w:szCs w:val="24"/>
      <w:lang w:val="pt-BR" w:eastAsia="zh-CN" w:bidi="hi-IN"/>
    </w:rPr>
  </w:style>
  <w:style w:type="paragraph" w:styleId="Tabela">
    <w:name w:val="Tabela"/>
    <w:basedOn w:val="Legenda"/>
    <w:qFormat/>
    <w:pPr/>
    <w:rPr/>
  </w:style>
  <w:style w:type="paragraph" w:styleId="Nivel2">
    <w:name w:val="Nivel 2"/>
    <w:qFormat/>
    <w:pPr>
      <w:widowControl/>
      <w:suppressAutoHyphens w:val="true"/>
      <w:overflowPunct w:val="fals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FreeSans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ahoma" w:cs="Liberation Serif"/>
      <w:color w:val="000000"/>
      <w:kern w:val="2"/>
      <w:sz w:val="24"/>
      <w:szCs w:val="24"/>
      <w:lang w:val="pt-BR" w:eastAsia="hi-IN" w:bidi="hi-IN"/>
    </w:rPr>
  </w:style>
  <w:style w:type="paragraph" w:styleId="LO-Normal1">
    <w:name w:val="LO-Normal1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ahoma" w:cs="Liberation Serif"/>
      <w:color w:val="000000"/>
      <w:kern w:val="2"/>
      <w:sz w:val="24"/>
      <w:szCs w:val="24"/>
      <w:lang w:val="pt-BR" w:eastAsia="hi-IN" w:bidi="hi-IN"/>
    </w:rPr>
  </w:style>
  <w:style w:type="paragraph" w:styleId="Notaderodap">
    <w:name w:val="Footnote Text"/>
    <w:basedOn w:val="Normal"/>
    <w:pPr>
      <w:suppressLineNumbers/>
      <w:ind w:left="339" w:right="0" w:hanging="339"/>
    </w:pPr>
    <w:rPr>
      <w:sz w:val="20"/>
      <w:szCs w:val="20"/>
    </w:rPr>
  </w:style>
  <w:style w:type="paragraph" w:styleId="Western">
    <w:name w:val="western"/>
    <w:basedOn w:val="Normal"/>
    <w:qFormat/>
    <w:pPr>
      <w:spacing w:lineRule="auto" w:line="240" w:before="280" w:after="119"/>
    </w:pPr>
    <w:rPr>
      <w:rFonts w:ascii="Times New Roman" w:hAnsi="Times New Roman" w:eastAsia="Times New Roman" w:cs="Times New Roman"/>
      <w:sz w:val="24"/>
      <w:szCs w:val="24"/>
    </w:rPr>
  </w:style>
  <w:style w:type="paragraph" w:styleId="ListaColorida-nfase11">
    <w:name w:val="Lista Colorida - Ênfase 11"/>
    <w:basedOn w:val="Normal"/>
    <w:qFormat/>
    <w:pPr>
      <w:widowControl w:val="false"/>
      <w:spacing w:before="0" w:after="0"/>
      <w:ind w:left="720" w:right="0" w:hanging="0"/>
      <w:contextualSpacing/>
    </w:pPr>
    <w:rPr>
      <w:rFonts w:ascii="Times New Roman" w:hAnsi="Times New Roman" w:eastAsia="Arial Unicode MS" w:cs="Times New Roman"/>
      <w:szCs w:val="20"/>
      <w:lang w:eastAsia="pt-BR"/>
    </w:rPr>
  </w:style>
  <w:style w:type="paragraph" w:styleId="NormalWeb">
    <w:name w:val="Normal (Web)"/>
    <w:basedOn w:val="Normal"/>
    <w:qFormat/>
    <w:pPr>
      <w:tabs>
        <w:tab w:val="clear" w:pos="408"/>
      </w:tabs>
      <w:spacing w:lineRule="auto" w:line="240" w:before="280" w:after="119"/>
      <w:jc w:val="left"/>
    </w:pPr>
    <w:rPr>
      <w:rFonts w:ascii="Times New Roman" w:hAnsi="Times New Roman" w:eastAsia="Times New Roman" w:cs="Times New Roman"/>
      <w:color w:val="00000A"/>
      <w:sz w:val="24"/>
      <w:szCs w:val="24"/>
      <w:lang w:eastAsia="pt-BR"/>
    </w:rPr>
  </w:style>
  <w:style w:type="paragraph" w:styleId="SombreamentoMdio1-nfase31">
    <w:name w:val="Sombreamento Médio 1 - Ênfase 31"/>
    <w:basedOn w:val="Normal"/>
    <w:next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fill="FFFFCC"/>
      <w:tabs>
        <w:tab w:val="clear" w:pos="408"/>
      </w:tabs>
      <w:suppressAutoHyphens w:val="true"/>
      <w:spacing w:lineRule="auto" w:line="240" w:before="120" w:after="0"/>
    </w:pPr>
    <w:rPr>
      <w:rFonts w:eastAsia="Calibri" w:cs="Tahoma"/>
      <w:i/>
      <w:iCs/>
      <w:color w:val="000000"/>
      <w:szCs w:val="24"/>
      <w:lang w:eastAsia="zh-CN"/>
    </w:rPr>
  </w:style>
  <w:style w:type="paragraph" w:styleId="Nivel11">
    <w:name w:val="Nivel 1"/>
    <w:basedOn w:val="Nivel2"/>
    <w:next w:val="Nivel2"/>
    <w:qFormat/>
    <w:pPr>
      <w:ind w:left="142" w:right="0" w:hanging="0"/>
    </w:pPr>
    <w:rPr>
      <w:rFonts w:cs="Arial"/>
      <w:b/>
    </w:rPr>
  </w:style>
  <w:style w:type="paragraph" w:styleId="Separadordendicealfabtico">
    <w:name w:val="Separador de índice alfabético"/>
    <w:basedOn w:val="Ndice"/>
    <w:qFormat/>
    <w:pPr/>
    <w:rPr/>
  </w:style>
  <w:style w:type="paragraph" w:styleId="Nivel01Titulo">
    <w:name w:val="Nivel_01_Titulo"/>
    <w:basedOn w:val="Ttulo1"/>
    <w:next w:val="Normal"/>
    <w:qFormat/>
    <w:pPr>
      <w:tabs>
        <w:tab w:val="clear" w:pos="408"/>
        <w:tab w:val="left" w:pos="567" w:leader="none"/>
      </w:tabs>
      <w:spacing w:before="240" w:after="0"/>
      <w:jc w:val="both"/>
      <w:outlineLvl w:val="9"/>
    </w:pPr>
    <w:rPr>
      <w:rFonts w:ascii="Arial" w:hAnsi="Arial" w:cs="Times New Roman"/>
      <w:color w:val="00000A"/>
      <w:sz w:val="20"/>
      <w:szCs w:val="20"/>
    </w:rPr>
  </w:style>
  <w:style w:type="numbering" w:styleId="Marcador">
    <w:name w:val="Marcador •"/>
    <w:qFormat/>
  </w:style>
  <w:style w:type="numbering" w:styleId="PadraoSLCContrato">
    <w:name w:val="Padrao SLC Contrato"/>
    <w:qFormat/>
  </w:style>
  <w:style w:type="numbering" w:styleId="PadraoSLC">
    <w:name w:val="Padrao SLC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11669</TotalTime>
  <Application>LibreOffice/7.5.4.2$Windows_X86_64 LibreOffice_project/36ccfdc35048b057fd9854c757a8b67ec53977b6</Application>
  <AppVersion>15.0000</AppVersion>
  <Pages>9</Pages>
  <Words>2713</Words>
  <Characters>15305</Characters>
  <CharactersWithSpaces>17757</CharactersWithSpaces>
  <Paragraphs>327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2018-10-13T15:11:34Z</dcterms:created>
  <dc:creator>SLC 4CTA</dc:creator>
  <dc:description/>
  <dc:language>pt-BR</dc:language>
  <cp:lastModifiedBy/>
  <cp:lastPrinted>2021-12-16T10:26:39Z</cp:lastPrinted>
  <dcterms:modified xsi:type="dcterms:W3CDTF">2024-06-19T15:06:56Z</dcterms:modified>
  <cp:revision>1151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